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A58" w:rsidRPr="00A673CA" w:rsidRDefault="00EC4176" w:rsidP="00720585">
      <w:pPr>
        <w:contextualSpacing/>
        <w:jc w:val="center"/>
        <w:rPr>
          <w:b/>
          <w:sz w:val="26"/>
          <w:szCs w:val="26"/>
        </w:rPr>
      </w:pPr>
      <w:r w:rsidRPr="00A673CA">
        <w:rPr>
          <w:b/>
          <w:sz w:val="26"/>
          <w:szCs w:val="26"/>
        </w:rPr>
        <w:t xml:space="preserve">SITE RULE CHANGES FOR </w:t>
      </w:r>
      <w:r w:rsidR="00097C61" w:rsidRPr="00A673CA">
        <w:rPr>
          <w:b/>
          <w:sz w:val="26"/>
          <w:szCs w:val="26"/>
        </w:rPr>
        <w:t xml:space="preserve">RATIFICATION AT </w:t>
      </w:r>
      <w:r w:rsidRPr="00A673CA">
        <w:rPr>
          <w:b/>
          <w:sz w:val="26"/>
          <w:szCs w:val="26"/>
        </w:rPr>
        <w:t>ALL GARDENERS MEETING</w:t>
      </w:r>
      <w:r w:rsidR="00097C61" w:rsidRPr="00A673CA">
        <w:rPr>
          <w:b/>
          <w:sz w:val="26"/>
          <w:szCs w:val="26"/>
        </w:rPr>
        <w:t xml:space="preserve"> 9/</w:t>
      </w:r>
      <w:r w:rsidR="00A673CA" w:rsidRPr="00A673CA">
        <w:rPr>
          <w:b/>
          <w:sz w:val="26"/>
          <w:szCs w:val="26"/>
        </w:rPr>
        <w:t>17/2016</w:t>
      </w:r>
    </w:p>
    <w:p w:rsidR="00BE5D6A" w:rsidRDefault="00BE5D6A" w:rsidP="00720585">
      <w:pPr>
        <w:contextualSpacing/>
      </w:pPr>
    </w:p>
    <w:p w:rsidR="005116D8" w:rsidRDefault="001C4EBC" w:rsidP="001C4EBC">
      <w:pPr>
        <w:contextualSpacing/>
      </w:pPr>
      <w:r w:rsidRPr="006700F1">
        <w:t xml:space="preserve">The Sunshine board has adopted five </w:t>
      </w:r>
      <w:r w:rsidR="005116D8">
        <w:t>site rules amendments which</w:t>
      </w:r>
      <w:r w:rsidRPr="006700F1">
        <w:t xml:space="preserve"> will be presented for ratification </w:t>
      </w:r>
      <w:r w:rsidR="005116D8">
        <w:t xml:space="preserve">by membership </w:t>
      </w:r>
      <w:r w:rsidRPr="006700F1">
        <w:t>at the All Gardeners meeting on September 17.  The amendments fall into two categories.</w:t>
      </w:r>
      <w:r w:rsidR="005116D8">
        <w:t>:</w:t>
      </w:r>
    </w:p>
    <w:p w:rsidR="005116D8" w:rsidRDefault="005116D8" w:rsidP="005116D8">
      <w:pPr>
        <w:pStyle w:val="ListParagraph"/>
        <w:numPr>
          <w:ilvl w:val="0"/>
          <w:numId w:val="8"/>
        </w:numPr>
      </w:pPr>
      <w:r>
        <w:t>A</w:t>
      </w:r>
      <w:r w:rsidR="001C4EBC" w:rsidRPr="006700F1">
        <w:t>mendments (3) addressing the minimum standards for how plots should be gardened in order to maximize the gardening expe</w:t>
      </w:r>
      <w:r w:rsidR="007E70D0">
        <w:t>rience for all Sunshine members.</w:t>
      </w:r>
      <w:bookmarkStart w:id="0" w:name="_GoBack"/>
      <w:bookmarkEnd w:id="0"/>
    </w:p>
    <w:p w:rsidR="001C4EBC" w:rsidRDefault="005116D8" w:rsidP="005116D8">
      <w:pPr>
        <w:pStyle w:val="ListParagraph"/>
        <w:numPr>
          <w:ilvl w:val="0"/>
          <w:numId w:val="8"/>
        </w:numPr>
      </w:pPr>
      <w:r>
        <w:t>A</w:t>
      </w:r>
      <w:r w:rsidR="001C4EBC" w:rsidRPr="006700F1">
        <w:t>mendments (2) addressing operations of Sunshine Community Gardens.</w:t>
      </w:r>
      <w:r w:rsidR="001C4EBC">
        <w:t xml:space="preserve">  Below is a </w:t>
      </w:r>
      <w:r w:rsidR="001C4EBC" w:rsidRPr="006700F1">
        <w:t>s</w:t>
      </w:r>
      <w:r w:rsidR="001C4EBC">
        <w:t>ummary of the amendments followed by the actual amendments.</w:t>
      </w:r>
    </w:p>
    <w:p w:rsidR="001C4EBC" w:rsidRDefault="001C4EBC" w:rsidP="001C4EBC">
      <w:pPr>
        <w:contextualSpacing/>
      </w:pPr>
    </w:p>
    <w:p w:rsidR="001C4EBC" w:rsidRPr="001C4EBC" w:rsidRDefault="001C4EBC" w:rsidP="001C4EBC">
      <w:pPr>
        <w:contextualSpacing/>
        <w:rPr>
          <w:b/>
        </w:rPr>
      </w:pPr>
      <w:r w:rsidRPr="001C4EBC">
        <w:rPr>
          <w:b/>
        </w:rPr>
        <w:t>I. Summary of Amendments</w:t>
      </w:r>
    </w:p>
    <w:p w:rsidR="001C4EBC" w:rsidRDefault="001C4EBC" w:rsidP="001C4EBC">
      <w:pPr>
        <w:contextualSpacing/>
      </w:pPr>
    </w:p>
    <w:p w:rsidR="001C4EBC" w:rsidRPr="006700F1" w:rsidRDefault="001C4EBC" w:rsidP="001C4EBC">
      <w:pPr>
        <w:ind w:left="475"/>
        <w:contextualSpacing/>
      </w:pPr>
      <w:r w:rsidRPr="006700F1">
        <w:t>1. Encroachment on Shared Borders</w:t>
      </w:r>
    </w:p>
    <w:p w:rsidR="001C4EBC" w:rsidRDefault="001C4EBC" w:rsidP="001C4EBC">
      <w:pPr>
        <w:ind w:left="950"/>
        <w:contextualSpacing/>
      </w:pPr>
      <w:r w:rsidRPr="00D214FB">
        <w:t xml:space="preserve">The layout at Sunshine Gardens means most plots have at least one shared border with another gardener.  Gardeners need to be considerate of their neighbors and not encroach on </w:t>
      </w:r>
      <w:r>
        <w:t xml:space="preserve">these </w:t>
      </w:r>
      <w:r w:rsidRPr="00D214FB">
        <w:t>sh</w:t>
      </w:r>
      <w:r>
        <w:t>ared borders.  This amendment adds a new site rule identifying the type of practices which constitute prohibited encroachment</w:t>
      </w:r>
      <w:r w:rsidRPr="00D214FB">
        <w:t>.</w:t>
      </w:r>
    </w:p>
    <w:p w:rsidR="001C4EBC" w:rsidRPr="006700F1" w:rsidRDefault="001C4EBC" w:rsidP="001C4EBC">
      <w:pPr>
        <w:ind w:left="360"/>
        <w:contextualSpacing/>
      </w:pPr>
    </w:p>
    <w:p w:rsidR="001C4EBC" w:rsidRDefault="001C4EBC" w:rsidP="001C4EBC">
      <w:pPr>
        <w:ind w:left="475"/>
        <w:contextualSpacing/>
      </w:pPr>
      <w:r w:rsidRPr="006700F1">
        <w:t>2</w:t>
      </w:r>
      <w:r>
        <w:t>. Maintaining One-Foot Weed Free Strip Along Shared Borders</w:t>
      </w:r>
      <w:r w:rsidR="00BB67BB">
        <w:t>;  Plot Compliance Enforcement</w:t>
      </w:r>
    </w:p>
    <w:p w:rsidR="001C4EBC" w:rsidRPr="006700F1" w:rsidRDefault="001C4EBC" w:rsidP="001C4EBC">
      <w:pPr>
        <w:ind w:left="950"/>
        <w:contextualSpacing/>
      </w:pPr>
      <w:r w:rsidRPr="00D214FB">
        <w:t xml:space="preserve">When a gardener fails to maintain a plot’s borders shared with adjoining plots weed free, the weeds quickly become a problem for the adjoining </w:t>
      </w:r>
      <w:r>
        <w:t>gardener.  This amendment adds</w:t>
      </w:r>
      <w:r w:rsidRPr="00D214FB">
        <w:t xml:space="preserve"> failure to maintain </w:t>
      </w:r>
      <w:r>
        <w:t xml:space="preserve">a one-foot weed free strip along shared </w:t>
      </w:r>
      <w:r w:rsidRPr="00D214FB">
        <w:t xml:space="preserve">borders with adjoining plots </w:t>
      </w:r>
      <w:r>
        <w:t>to list of what</w:t>
      </w:r>
      <w:r w:rsidRPr="00D214FB">
        <w:t xml:space="preserve"> constitute</w:t>
      </w:r>
      <w:r>
        <w:t>s</w:t>
      </w:r>
      <w:r w:rsidRPr="00D214FB">
        <w:t xml:space="preserve"> non-compliance.</w:t>
      </w:r>
      <w:r>
        <w:t xml:space="preserve">  It also makes some minor changes to process for addressing non-compliance.</w:t>
      </w:r>
    </w:p>
    <w:p w:rsidR="001C4EBC" w:rsidRDefault="001C4EBC" w:rsidP="001C4EBC">
      <w:pPr>
        <w:ind w:left="950"/>
        <w:contextualSpacing/>
      </w:pPr>
    </w:p>
    <w:p w:rsidR="001C4EBC" w:rsidRDefault="001C4EBC" w:rsidP="001C4EBC">
      <w:pPr>
        <w:ind w:left="475"/>
        <w:contextualSpacing/>
      </w:pPr>
      <w:r>
        <w:t xml:space="preserve">3. </w:t>
      </w:r>
      <w:r w:rsidRPr="006700F1">
        <w:t>Active Gardening of Plot</w:t>
      </w:r>
      <w:r w:rsidR="00082278">
        <w:t xml:space="preserve"> Pilot</w:t>
      </w:r>
    </w:p>
    <w:p w:rsidR="001C4EBC" w:rsidRDefault="001C4EBC" w:rsidP="001C4EBC">
      <w:pPr>
        <w:ind w:left="950"/>
        <w:contextualSpacing/>
      </w:pPr>
      <w:r w:rsidRPr="00D214FB">
        <w:t>Sunshine Gardens fulfills its purpose of providing “opportunities for the public to engage in organic gardening” only when its members actively garden their assigned plot(s) to produce vegetable and/or ornamental crops.  Currently, it is possible to maintain a plot in compliance with site rules without actively gardening the plot, but doing so is not consistent with the purpose of Sunshine Gardens.  To evaluate the effectiveness of amending the site rules to requir</w:t>
      </w:r>
      <w:r>
        <w:t>e active gardening of plots, this amendment directs the</w:t>
      </w:r>
      <w:r w:rsidRPr="00D214FB">
        <w:t xml:space="preserve"> board shall pilot test requiring members to actively garden their plot(s) and a pr</w:t>
      </w:r>
      <w:r>
        <w:t>ocess for enforcing requirement.  It also defines “active gardening” for purposes of the pilot.</w:t>
      </w:r>
    </w:p>
    <w:p w:rsidR="001C4EBC" w:rsidRDefault="001C4EBC" w:rsidP="001C4EBC">
      <w:pPr>
        <w:ind w:left="475"/>
        <w:contextualSpacing/>
      </w:pPr>
    </w:p>
    <w:p w:rsidR="001C4EBC" w:rsidRDefault="001C4EBC" w:rsidP="001C4EBC">
      <w:pPr>
        <w:ind w:left="475"/>
        <w:contextualSpacing/>
      </w:pPr>
      <w:r>
        <w:t xml:space="preserve">4. </w:t>
      </w:r>
      <w:r w:rsidRPr="006700F1">
        <w:t>Secondary Gardener Becoming Primary Gardener</w:t>
      </w:r>
    </w:p>
    <w:p w:rsidR="001C4EBC" w:rsidRDefault="001C4EBC" w:rsidP="001C4EBC">
      <w:pPr>
        <w:ind w:left="950"/>
        <w:contextualSpacing/>
      </w:pPr>
      <w:r>
        <w:t>This amendment incorporates into the site rules the current process used by the board for a secondary gardener to become the primary gardener.  Since the process affects rights of members, the board believes it should be set out in the site rules so gardeners know what the process is.</w:t>
      </w:r>
    </w:p>
    <w:p w:rsidR="001C4EBC" w:rsidRDefault="001C4EBC" w:rsidP="001C4EBC">
      <w:pPr>
        <w:ind w:left="475"/>
        <w:contextualSpacing/>
      </w:pPr>
    </w:p>
    <w:p w:rsidR="001C4EBC" w:rsidRDefault="001C4EBC" w:rsidP="001C4EBC">
      <w:pPr>
        <w:ind w:left="475"/>
        <w:contextualSpacing/>
      </w:pPr>
      <w:r>
        <w:t xml:space="preserve">5. Service Hours </w:t>
      </w:r>
      <w:r w:rsidRPr="006700F1">
        <w:t>for Maintaining Pathways Other than Common Paths</w:t>
      </w:r>
    </w:p>
    <w:p w:rsidR="001C4EBC" w:rsidRDefault="001C4EBC" w:rsidP="001C4EBC">
      <w:pPr>
        <w:ind w:left="950"/>
        <w:contextualSpacing/>
      </w:pPr>
      <w:r>
        <w:t xml:space="preserve">The site rules </w:t>
      </w:r>
      <w:r w:rsidRPr="0030227E">
        <w:t>currently permit earning service hours for “maintenance of pathways and common areas.”  A question has come up if term “pathways” includes pathways between adjacent plots even though not designated as a common path.  This amendment clar</w:t>
      </w:r>
      <w:r>
        <w:t>if</w:t>
      </w:r>
      <w:r w:rsidRPr="0030227E">
        <w:t>ies that it does.</w:t>
      </w:r>
    </w:p>
    <w:p w:rsidR="00DE7EB2" w:rsidRDefault="00DE7EB2" w:rsidP="00720585">
      <w:pPr>
        <w:contextualSpacing/>
      </w:pPr>
    </w:p>
    <w:p w:rsidR="00DE7EB2" w:rsidRDefault="00DE7EB2" w:rsidP="00720585">
      <w:pPr>
        <w:contextualSpacing/>
      </w:pPr>
    </w:p>
    <w:p w:rsidR="004B6885" w:rsidRDefault="00DE7EB2" w:rsidP="00082278">
      <w:pPr>
        <w:tabs>
          <w:tab w:val="right" w:pos="10080"/>
        </w:tabs>
        <w:contextualSpacing/>
        <w:rPr>
          <w:b/>
        </w:rPr>
      </w:pPr>
      <w:r w:rsidRPr="00DE7EB2">
        <w:rPr>
          <w:b/>
        </w:rPr>
        <w:t>II. Amendments</w:t>
      </w:r>
      <w:r w:rsidR="00082278">
        <w:rPr>
          <w:b/>
        </w:rPr>
        <w:t xml:space="preserve">   </w:t>
      </w:r>
    </w:p>
    <w:p w:rsidR="00DE7EB2" w:rsidRPr="00DE7EB2" w:rsidRDefault="00082278" w:rsidP="00082278">
      <w:pPr>
        <w:tabs>
          <w:tab w:val="right" w:pos="10080"/>
        </w:tabs>
        <w:contextualSpacing/>
        <w:rPr>
          <w:b/>
        </w:rPr>
      </w:pPr>
      <w:r>
        <w:rPr>
          <w:i/>
        </w:rPr>
        <w:tab/>
        <w:t>Page</w:t>
      </w:r>
    </w:p>
    <w:p w:rsidR="00082278" w:rsidRDefault="00082278" w:rsidP="00082278">
      <w:pPr>
        <w:pStyle w:val="ListParagraph"/>
        <w:numPr>
          <w:ilvl w:val="0"/>
          <w:numId w:val="7"/>
        </w:numPr>
        <w:tabs>
          <w:tab w:val="right" w:pos="9900"/>
        </w:tabs>
      </w:pPr>
      <w:r w:rsidRPr="006700F1">
        <w:t>Encroachment on Shared Borders</w:t>
      </w:r>
      <w:r>
        <w:tab/>
        <w:t>2</w:t>
      </w:r>
    </w:p>
    <w:p w:rsidR="00082278" w:rsidRDefault="00082278" w:rsidP="00082278">
      <w:pPr>
        <w:pStyle w:val="ListParagraph"/>
        <w:numPr>
          <w:ilvl w:val="0"/>
          <w:numId w:val="7"/>
        </w:numPr>
        <w:tabs>
          <w:tab w:val="right" w:pos="9900"/>
        </w:tabs>
      </w:pPr>
      <w:r>
        <w:t>Maintaining One-Foot Weed Free Strip Along Shared Borders;  Plot Compliance Enforcement</w:t>
      </w:r>
      <w:r>
        <w:tab/>
        <w:t>3</w:t>
      </w:r>
    </w:p>
    <w:p w:rsidR="00082278" w:rsidRDefault="00082278" w:rsidP="00082278">
      <w:pPr>
        <w:pStyle w:val="ListParagraph"/>
        <w:numPr>
          <w:ilvl w:val="0"/>
          <w:numId w:val="7"/>
        </w:numPr>
        <w:tabs>
          <w:tab w:val="right" w:pos="9900"/>
        </w:tabs>
      </w:pPr>
      <w:r w:rsidRPr="006700F1">
        <w:t>Active Gardening of Plot</w:t>
      </w:r>
      <w:r>
        <w:t xml:space="preserve"> Pilot</w:t>
      </w:r>
      <w:r>
        <w:tab/>
        <w:t>5</w:t>
      </w:r>
    </w:p>
    <w:p w:rsidR="00082278" w:rsidRDefault="00082278" w:rsidP="00082278">
      <w:pPr>
        <w:pStyle w:val="ListParagraph"/>
        <w:numPr>
          <w:ilvl w:val="0"/>
          <w:numId w:val="7"/>
        </w:numPr>
        <w:tabs>
          <w:tab w:val="right" w:pos="9900"/>
        </w:tabs>
      </w:pPr>
      <w:r w:rsidRPr="006700F1">
        <w:t>Secondary Gardener Becoming Primary Gardener</w:t>
      </w:r>
      <w:r>
        <w:tab/>
      </w:r>
      <w:r w:rsidR="0039485A">
        <w:t>7</w:t>
      </w:r>
    </w:p>
    <w:p w:rsidR="00DE7EB2" w:rsidRDefault="0039485A" w:rsidP="00720585">
      <w:pPr>
        <w:pStyle w:val="ListParagraph"/>
        <w:numPr>
          <w:ilvl w:val="0"/>
          <w:numId w:val="7"/>
        </w:numPr>
        <w:tabs>
          <w:tab w:val="right" w:pos="9900"/>
        </w:tabs>
      </w:pPr>
      <w:r>
        <w:t xml:space="preserve">Service Hours </w:t>
      </w:r>
      <w:r w:rsidRPr="006700F1">
        <w:t>for Maintaining Pathways Other than Common Paths</w:t>
      </w:r>
      <w:r>
        <w:tab/>
        <w:t>8</w:t>
      </w:r>
    </w:p>
    <w:p w:rsidR="00DE7EB2" w:rsidRPr="004546A9" w:rsidRDefault="00DE7EB2" w:rsidP="00720585">
      <w:pPr>
        <w:contextualSpacing/>
        <w:sectPr w:rsidR="00DE7EB2" w:rsidRPr="004546A9" w:rsidSect="00DE7EB2">
          <w:headerReference w:type="default" r:id="rId8"/>
          <w:footerReference w:type="default" r:id="rId9"/>
          <w:pgSz w:w="12240" w:h="15840" w:code="1"/>
          <w:pgMar w:top="1008" w:right="864" w:bottom="432" w:left="1152" w:header="576" w:footer="576" w:gutter="0"/>
          <w:cols w:space="720"/>
          <w:docGrid w:linePitch="360"/>
        </w:sectPr>
      </w:pPr>
    </w:p>
    <w:p w:rsidR="0078631E" w:rsidRDefault="0078631E" w:rsidP="0078631E">
      <w:pPr>
        <w:tabs>
          <w:tab w:val="left" w:pos="720"/>
        </w:tabs>
      </w:pPr>
    </w:p>
    <w:tbl>
      <w:tblPr>
        <w:tblStyle w:val="TableGrid"/>
        <w:tblW w:w="0" w:type="auto"/>
        <w:tblLook w:val="04A0" w:firstRow="1" w:lastRow="0" w:firstColumn="1" w:lastColumn="0" w:noHBand="0" w:noVBand="1"/>
      </w:tblPr>
      <w:tblGrid>
        <w:gridCol w:w="4700"/>
        <w:gridCol w:w="4701"/>
        <w:gridCol w:w="4701"/>
      </w:tblGrid>
      <w:tr w:rsidR="0078631E" w:rsidRPr="004546A9" w:rsidTr="00E81E93">
        <w:tc>
          <w:tcPr>
            <w:tcW w:w="14102" w:type="dxa"/>
            <w:gridSpan w:val="3"/>
          </w:tcPr>
          <w:p w:rsidR="0078631E" w:rsidRPr="004546A9" w:rsidRDefault="0078631E" w:rsidP="00E81E93">
            <w:pPr>
              <w:contextualSpacing/>
              <w:jc w:val="center"/>
              <w:rPr>
                <w:b/>
              </w:rPr>
            </w:pPr>
          </w:p>
          <w:p w:rsidR="0078631E" w:rsidRPr="004546A9" w:rsidRDefault="0078631E" w:rsidP="00E81E93">
            <w:pPr>
              <w:contextualSpacing/>
              <w:jc w:val="center"/>
              <w:rPr>
                <w:b/>
              </w:rPr>
            </w:pPr>
            <w:r w:rsidRPr="004546A9">
              <w:rPr>
                <w:b/>
              </w:rPr>
              <w:t xml:space="preserve">AMENDMENT </w:t>
            </w:r>
            <w:r w:rsidR="00FC5C28">
              <w:rPr>
                <w:b/>
              </w:rPr>
              <w:t>1</w:t>
            </w:r>
            <w:r w:rsidRPr="004546A9">
              <w:rPr>
                <w:b/>
              </w:rPr>
              <w:t xml:space="preserve">: </w:t>
            </w:r>
            <w:r>
              <w:rPr>
                <w:b/>
              </w:rPr>
              <w:t>ENCROACHMEN</w:t>
            </w:r>
            <w:r w:rsidR="001178C4">
              <w:rPr>
                <w:b/>
              </w:rPr>
              <w:t>T</w:t>
            </w:r>
            <w:r>
              <w:rPr>
                <w:b/>
              </w:rPr>
              <w:t xml:space="preserve"> ON SHARED BORDERS</w:t>
            </w:r>
          </w:p>
          <w:p w:rsidR="0078631E" w:rsidRPr="009D7114" w:rsidRDefault="009D7114" w:rsidP="009D7114">
            <w:pPr>
              <w:tabs>
                <w:tab w:val="right" w:pos="9900"/>
              </w:tabs>
              <w:rPr>
                <w:i/>
              </w:rPr>
            </w:pPr>
            <w:r w:rsidRPr="009D7114">
              <w:rPr>
                <w:i/>
                <w:highlight w:val="yellow"/>
              </w:rPr>
              <w:t>Highlighting</w:t>
            </w:r>
            <w:r w:rsidRPr="009D7114">
              <w:rPr>
                <w:i/>
              </w:rPr>
              <w:t xml:space="preserve"> denotes new or changed language.</w:t>
            </w:r>
          </w:p>
          <w:p w:rsidR="009D7114" w:rsidRPr="004546A9" w:rsidRDefault="009D7114" w:rsidP="009D7114">
            <w:pPr>
              <w:tabs>
                <w:tab w:val="right" w:pos="9900"/>
              </w:tabs>
              <w:ind w:left="360"/>
              <w:rPr>
                <w:b/>
              </w:rPr>
            </w:pPr>
          </w:p>
        </w:tc>
      </w:tr>
      <w:tr w:rsidR="0078631E" w:rsidRPr="004546A9" w:rsidTr="00E81E93">
        <w:trPr>
          <w:trHeight w:val="332"/>
        </w:trPr>
        <w:tc>
          <w:tcPr>
            <w:tcW w:w="4700" w:type="dxa"/>
          </w:tcPr>
          <w:p w:rsidR="0078631E" w:rsidRPr="004546A9" w:rsidRDefault="0078631E" w:rsidP="00E81E93">
            <w:pPr>
              <w:contextualSpacing/>
              <w:jc w:val="center"/>
              <w:rPr>
                <w:b/>
              </w:rPr>
            </w:pPr>
            <w:r w:rsidRPr="004546A9">
              <w:rPr>
                <w:b/>
              </w:rPr>
              <w:t>PROPOSED AMENDMENT</w:t>
            </w:r>
          </w:p>
        </w:tc>
        <w:tc>
          <w:tcPr>
            <w:tcW w:w="4701" w:type="dxa"/>
          </w:tcPr>
          <w:p w:rsidR="0078631E" w:rsidRPr="004546A9" w:rsidRDefault="0078631E" w:rsidP="00E81E93">
            <w:pPr>
              <w:contextualSpacing/>
              <w:jc w:val="center"/>
              <w:rPr>
                <w:b/>
              </w:rPr>
            </w:pPr>
            <w:r w:rsidRPr="004546A9">
              <w:rPr>
                <w:b/>
              </w:rPr>
              <w:t>CURRENT RULE LANGUAGE</w:t>
            </w:r>
          </w:p>
        </w:tc>
        <w:tc>
          <w:tcPr>
            <w:tcW w:w="4701" w:type="dxa"/>
          </w:tcPr>
          <w:p w:rsidR="0078631E" w:rsidRPr="004546A9" w:rsidRDefault="0078631E" w:rsidP="00E81E93">
            <w:pPr>
              <w:contextualSpacing/>
              <w:jc w:val="center"/>
              <w:rPr>
                <w:b/>
              </w:rPr>
            </w:pPr>
            <w:r w:rsidRPr="004546A9">
              <w:rPr>
                <w:b/>
              </w:rPr>
              <w:t>RATIONALE</w:t>
            </w:r>
          </w:p>
        </w:tc>
      </w:tr>
      <w:tr w:rsidR="0078631E" w:rsidRPr="002E6B7A" w:rsidTr="00E81E93">
        <w:tc>
          <w:tcPr>
            <w:tcW w:w="4700" w:type="dxa"/>
          </w:tcPr>
          <w:p w:rsidR="0078631E" w:rsidRPr="002E6B7A" w:rsidRDefault="009E2B3A" w:rsidP="00E81E93">
            <w:pPr>
              <w:pStyle w:val="Body"/>
              <w:spacing w:after="0"/>
              <w:contextualSpacing/>
              <w:rPr>
                <w:rFonts w:asciiTheme="minorHAnsi" w:hAnsiTheme="minorHAnsi"/>
                <w:b/>
                <w:i/>
              </w:rPr>
            </w:pPr>
            <w:r>
              <w:rPr>
                <w:rFonts w:asciiTheme="minorHAnsi" w:hAnsiTheme="minorHAnsi"/>
                <w:b/>
                <w:i/>
              </w:rPr>
              <w:t>Amend</w:t>
            </w:r>
            <w:r w:rsidR="00FD0392">
              <w:rPr>
                <w:rFonts w:asciiTheme="minorHAnsi" w:hAnsiTheme="minorHAnsi"/>
                <w:b/>
                <w:i/>
              </w:rPr>
              <w:t xml:space="preserve"> Section I., </w:t>
            </w:r>
            <w:r w:rsidRPr="002E6B7A">
              <w:rPr>
                <w:rFonts w:asciiTheme="minorHAnsi" w:hAnsiTheme="minorHAnsi"/>
                <w:b/>
                <w:i/>
              </w:rPr>
              <w:t xml:space="preserve">Subsection </w:t>
            </w:r>
            <w:r>
              <w:rPr>
                <w:rFonts w:asciiTheme="minorHAnsi" w:hAnsiTheme="minorHAnsi"/>
                <w:b/>
                <w:i/>
              </w:rPr>
              <w:t xml:space="preserve">E by adding a </w:t>
            </w:r>
            <w:r w:rsidR="0078631E" w:rsidRPr="002E6B7A">
              <w:rPr>
                <w:rFonts w:asciiTheme="minorHAnsi" w:hAnsiTheme="minorHAnsi"/>
                <w:b/>
                <w:i/>
              </w:rPr>
              <w:t>new</w:t>
            </w:r>
            <w:r>
              <w:rPr>
                <w:rFonts w:asciiTheme="minorHAnsi" w:hAnsiTheme="minorHAnsi"/>
                <w:b/>
                <w:i/>
              </w:rPr>
              <w:t xml:space="preserve"> Subdivision</w:t>
            </w:r>
            <w:r w:rsidR="00FD0392">
              <w:rPr>
                <w:rFonts w:asciiTheme="minorHAnsi" w:hAnsiTheme="minorHAnsi"/>
                <w:b/>
                <w:i/>
              </w:rPr>
              <w:t xml:space="preserve"> </w:t>
            </w:r>
            <w:r>
              <w:rPr>
                <w:rFonts w:asciiTheme="minorHAnsi" w:hAnsiTheme="minorHAnsi"/>
                <w:b/>
                <w:i/>
              </w:rPr>
              <w:t>1.</w:t>
            </w:r>
            <w:r w:rsidR="0078631E" w:rsidRPr="002E6B7A">
              <w:rPr>
                <w:rFonts w:asciiTheme="minorHAnsi" w:hAnsiTheme="minorHAnsi"/>
                <w:b/>
                <w:i/>
              </w:rPr>
              <w:t xml:space="preserve"> which reads </w:t>
            </w:r>
            <w:r>
              <w:rPr>
                <w:rFonts w:asciiTheme="minorHAnsi" w:hAnsiTheme="minorHAnsi"/>
                <w:b/>
                <w:i/>
              </w:rPr>
              <w:t xml:space="preserve">as follows and renumber subsequent </w:t>
            </w:r>
            <w:r w:rsidR="00FD0392">
              <w:rPr>
                <w:rFonts w:asciiTheme="minorHAnsi" w:hAnsiTheme="minorHAnsi"/>
                <w:b/>
                <w:i/>
              </w:rPr>
              <w:t>subdivisions</w:t>
            </w:r>
            <w:r w:rsidR="0078631E" w:rsidRPr="002E6B7A">
              <w:rPr>
                <w:rFonts w:asciiTheme="minorHAnsi" w:hAnsiTheme="minorHAnsi"/>
                <w:b/>
                <w:i/>
              </w:rPr>
              <w:t xml:space="preserve"> accordingly:</w:t>
            </w:r>
          </w:p>
          <w:p w:rsidR="0078631E" w:rsidRPr="002E6B7A" w:rsidRDefault="0078631E" w:rsidP="00E81E93">
            <w:pPr>
              <w:pStyle w:val="Body"/>
              <w:spacing w:after="0"/>
              <w:contextualSpacing/>
              <w:rPr>
                <w:rFonts w:asciiTheme="minorHAnsi" w:hAnsiTheme="minorHAnsi"/>
              </w:rPr>
            </w:pPr>
          </w:p>
          <w:p w:rsidR="0078631E" w:rsidRPr="002E6B7A" w:rsidRDefault="0078631E" w:rsidP="00E81E93">
            <w:pPr>
              <w:contextualSpacing/>
              <w:rPr>
                <w:highlight w:val="yellow"/>
              </w:rPr>
            </w:pPr>
            <w:r w:rsidRPr="002E6B7A">
              <w:rPr>
                <w:highlight w:val="yellow"/>
              </w:rPr>
              <w:t xml:space="preserve">1. Sunshine Gardens’ collective space is divided into individual plots with shared borders which require being considerate of neighboring gardeners.   Vegetables and ornamentals, including their trellises or similar supporting structures should not be planted/placed so close to plot boundaries that: </w:t>
            </w:r>
          </w:p>
          <w:p w:rsidR="0078631E" w:rsidRPr="002E6B7A" w:rsidRDefault="0078631E" w:rsidP="00E81E93">
            <w:pPr>
              <w:ind w:left="481" w:hanging="211"/>
              <w:rPr>
                <w:highlight w:val="yellow"/>
              </w:rPr>
            </w:pPr>
            <w:r w:rsidRPr="002E6B7A">
              <w:rPr>
                <w:highlight w:val="yellow"/>
              </w:rPr>
              <w:t xml:space="preserve">a. the plants cannot be cultivated or harvested without entering a neighboring plot, </w:t>
            </w:r>
          </w:p>
          <w:p w:rsidR="0078631E" w:rsidRPr="002E6B7A" w:rsidRDefault="0078631E" w:rsidP="00E81E93">
            <w:pPr>
              <w:ind w:left="481" w:hanging="211"/>
              <w:rPr>
                <w:highlight w:val="yellow"/>
              </w:rPr>
            </w:pPr>
            <w:r w:rsidRPr="002E6B7A">
              <w:rPr>
                <w:highlight w:val="yellow"/>
              </w:rPr>
              <w:t xml:space="preserve">b. a plant or structure casts excessive shade on a neighboring plot, or </w:t>
            </w:r>
          </w:p>
          <w:p w:rsidR="0078631E" w:rsidRPr="002E6B7A" w:rsidRDefault="0078631E" w:rsidP="00E81E93">
            <w:pPr>
              <w:pStyle w:val="Body"/>
              <w:spacing w:after="0"/>
              <w:ind w:left="481" w:hanging="241"/>
              <w:contextualSpacing/>
              <w:rPr>
                <w:rFonts w:asciiTheme="minorHAnsi" w:hAnsiTheme="minorHAnsi"/>
              </w:rPr>
            </w:pPr>
            <w:r w:rsidRPr="002E6B7A">
              <w:rPr>
                <w:rFonts w:asciiTheme="minorHAnsi" w:hAnsiTheme="minorHAnsi"/>
                <w:highlight w:val="yellow"/>
              </w:rPr>
              <w:t>c. a plant or structure otherwise encroaches on a neighboring plot</w:t>
            </w:r>
            <w:r w:rsidRPr="002E6B7A">
              <w:rPr>
                <w:rFonts w:asciiTheme="minorHAnsi" w:hAnsiTheme="minorHAnsi"/>
              </w:rPr>
              <w:t>.</w:t>
            </w:r>
          </w:p>
        </w:tc>
        <w:tc>
          <w:tcPr>
            <w:tcW w:w="4701" w:type="dxa"/>
          </w:tcPr>
          <w:p w:rsidR="0078631E" w:rsidRPr="002E6B7A" w:rsidRDefault="0078631E" w:rsidP="00E81E93">
            <w:pPr>
              <w:pStyle w:val="Body"/>
              <w:spacing w:after="0"/>
              <w:contextualSpacing/>
              <w:rPr>
                <w:rFonts w:asciiTheme="minorHAnsi" w:hAnsiTheme="minorHAnsi"/>
                <w:i/>
              </w:rPr>
            </w:pPr>
          </w:p>
          <w:p w:rsidR="0078631E" w:rsidRPr="002E6B7A" w:rsidRDefault="0078631E" w:rsidP="00E81E93">
            <w:pPr>
              <w:pStyle w:val="Body"/>
              <w:spacing w:after="0"/>
              <w:contextualSpacing/>
              <w:rPr>
                <w:rFonts w:asciiTheme="minorHAnsi" w:hAnsiTheme="minorHAnsi"/>
                <w:i/>
              </w:rPr>
            </w:pPr>
          </w:p>
          <w:p w:rsidR="0078631E" w:rsidRDefault="0078631E" w:rsidP="00E81E93">
            <w:pPr>
              <w:pStyle w:val="Body"/>
              <w:spacing w:after="0"/>
              <w:contextualSpacing/>
              <w:rPr>
                <w:rFonts w:asciiTheme="minorHAnsi" w:hAnsiTheme="minorHAnsi"/>
                <w:i/>
              </w:rPr>
            </w:pPr>
          </w:p>
          <w:p w:rsidR="00D96360" w:rsidRPr="002E6B7A" w:rsidRDefault="00D96360" w:rsidP="00E81E93">
            <w:pPr>
              <w:pStyle w:val="Body"/>
              <w:spacing w:after="0"/>
              <w:contextualSpacing/>
              <w:rPr>
                <w:rFonts w:asciiTheme="minorHAnsi" w:hAnsiTheme="minorHAnsi"/>
                <w: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i/>
              </w:rPr>
              <w:t>[no language in current rule]</w:t>
            </w:r>
          </w:p>
        </w:tc>
        <w:tc>
          <w:tcPr>
            <w:tcW w:w="4701" w:type="dxa"/>
          </w:tcPr>
          <w:p w:rsidR="0078631E" w:rsidRPr="002E6B7A" w:rsidRDefault="0078631E" w:rsidP="00E81E93">
            <w:pPr>
              <w:contextualSpacing/>
            </w:pPr>
            <w:r w:rsidRPr="002E6B7A">
              <w:tab/>
              <w:t>The layout at Sunshine Gardens means most plots have at least one shared border with another gardener.  Gardeners need to be considerate of their neighbors and not encroach on shared borders.  This amendment is designed to make members aware of how encroachment can occur and to prohibit encroachment.</w:t>
            </w:r>
          </w:p>
          <w:p w:rsidR="0078631E" w:rsidRPr="002E6B7A" w:rsidRDefault="0078631E" w:rsidP="00E81E93">
            <w:pPr>
              <w:contextualSpacing/>
            </w:pPr>
          </w:p>
        </w:tc>
      </w:tr>
    </w:tbl>
    <w:p w:rsidR="0078631E" w:rsidRDefault="0078631E"/>
    <w:p w:rsidR="0078631E" w:rsidRDefault="0078631E">
      <w:r>
        <w:br w:type="page"/>
      </w:r>
    </w:p>
    <w:p w:rsidR="0078631E" w:rsidRPr="000E0AC9" w:rsidRDefault="0078631E">
      <w:pPr>
        <w:rPr>
          <w:sz w:val="12"/>
          <w:szCs w:val="12"/>
        </w:rPr>
      </w:pPr>
    </w:p>
    <w:tbl>
      <w:tblPr>
        <w:tblStyle w:val="TableGrid"/>
        <w:tblW w:w="0" w:type="auto"/>
        <w:tblLook w:val="04A0" w:firstRow="1" w:lastRow="0" w:firstColumn="1" w:lastColumn="0" w:noHBand="0" w:noVBand="1"/>
      </w:tblPr>
      <w:tblGrid>
        <w:gridCol w:w="4945"/>
        <w:gridCol w:w="4456"/>
        <w:gridCol w:w="4701"/>
      </w:tblGrid>
      <w:tr w:rsidR="0078631E" w:rsidRPr="002E6B7A" w:rsidTr="00E81E93">
        <w:tc>
          <w:tcPr>
            <w:tcW w:w="14102" w:type="dxa"/>
            <w:gridSpan w:val="3"/>
          </w:tcPr>
          <w:p w:rsidR="0078631E" w:rsidRPr="009D7114" w:rsidRDefault="0078631E" w:rsidP="00E81E93">
            <w:pPr>
              <w:contextualSpacing/>
              <w:jc w:val="center"/>
              <w:rPr>
                <w:b/>
                <w:sz w:val="12"/>
                <w:szCs w:val="12"/>
              </w:rPr>
            </w:pPr>
          </w:p>
          <w:p w:rsidR="0078631E" w:rsidRPr="002E6B7A" w:rsidRDefault="0078631E" w:rsidP="00E81E93">
            <w:pPr>
              <w:contextualSpacing/>
              <w:jc w:val="center"/>
              <w:rPr>
                <w:b/>
              </w:rPr>
            </w:pPr>
            <w:r w:rsidRPr="002E6B7A">
              <w:rPr>
                <w:b/>
              </w:rPr>
              <w:t xml:space="preserve">AMENDMENT </w:t>
            </w:r>
            <w:r w:rsidR="00FC5C28">
              <w:rPr>
                <w:b/>
              </w:rPr>
              <w:t>2</w:t>
            </w:r>
            <w:r w:rsidRPr="002E6B7A">
              <w:rPr>
                <w:b/>
              </w:rPr>
              <w:t>:</w:t>
            </w:r>
            <w:r w:rsidR="00DE7EB2">
              <w:rPr>
                <w:b/>
              </w:rPr>
              <w:t xml:space="preserve"> ONE-FOOT WEED FREE STRIP ALONG SHARED BORDERS</w:t>
            </w:r>
            <w:r w:rsidR="00691B0F">
              <w:rPr>
                <w:b/>
              </w:rPr>
              <w:t>;  PLOT COMPLIANCE ENFORCEMENT</w:t>
            </w:r>
          </w:p>
          <w:p w:rsidR="0078631E" w:rsidRPr="000E0AC9" w:rsidRDefault="009D7114" w:rsidP="009D7114">
            <w:pPr>
              <w:tabs>
                <w:tab w:val="right" w:pos="9900"/>
              </w:tabs>
              <w:rPr>
                <w:i/>
                <w:sz w:val="12"/>
                <w:szCs w:val="12"/>
              </w:rPr>
            </w:pPr>
            <w:r w:rsidRPr="009D7114">
              <w:rPr>
                <w:i/>
                <w:highlight w:val="yellow"/>
              </w:rPr>
              <w:t>Highlighting</w:t>
            </w:r>
            <w:r w:rsidRPr="009D7114">
              <w:rPr>
                <w:i/>
              </w:rPr>
              <w:t xml:space="preserve"> denotes new or changed language.</w:t>
            </w:r>
          </w:p>
          <w:p w:rsidR="009D7114" w:rsidRPr="000E0AC9" w:rsidRDefault="009D7114" w:rsidP="009D7114">
            <w:pPr>
              <w:tabs>
                <w:tab w:val="right" w:pos="9900"/>
              </w:tabs>
              <w:rPr>
                <w:b/>
                <w:sz w:val="12"/>
                <w:szCs w:val="12"/>
              </w:rPr>
            </w:pPr>
          </w:p>
        </w:tc>
      </w:tr>
      <w:tr w:rsidR="0078631E" w:rsidRPr="002E6B7A" w:rsidTr="00DD40A1">
        <w:trPr>
          <w:trHeight w:val="332"/>
        </w:trPr>
        <w:tc>
          <w:tcPr>
            <w:tcW w:w="4945" w:type="dxa"/>
          </w:tcPr>
          <w:p w:rsidR="0078631E" w:rsidRPr="002E6B7A" w:rsidRDefault="0078631E" w:rsidP="00E81E93">
            <w:pPr>
              <w:contextualSpacing/>
              <w:jc w:val="center"/>
              <w:rPr>
                <w:b/>
              </w:rPr>
            </w:pPr>
            <w:r w:rsidRPr="002E6B7A">
              <w:rPr>
                <w:b/>
              </w:rPr>
              <w:t>PROPOSED AMENDMENT</w:t>
            </w:r>
          </w:p>
        </w:tc>
        <w:tc>
          <w:tcPr>
            <w:tcW w:w="4456" w:type="dxa"/>
          </w:tcPr>
          <w:p w:rsidR="0078631E" w:rsidRPr="002E6B7A" w:rsidRDefault="0078631E" w:rsidP="00E81E93">
            <w:pPr>
              <w:contextualSpacing/>
              <w:jc w:val="center"/>
              <w:rPr>
                <w:b/>
              </w:rPr>
            </w:pPr>
            <w:r w:rsidRPr="002E6B7A">
              <w:rPr>
                <w:b/>
              </w:rPr>
              <w:t>CURRENT RULE LANGUAGE</w:t>
            </w:r>
          </w:p>
        </w:tc>
        <w:tc>
          <w:tcPr>
            <w:tcW w:w="4701" w:type="dxa"/>
          </w:tcPr>
          <w:p w:rsidR="0078631E" w:rsidRPr="002E6B7A" w:rsidRDefault="0078631E" w:rsidP="00E81E93">
            <w:pPr>
              <w:contextualSpacing/>
              <w:jc w:val="center"/>
              <w:rPr>
                <w:b/>
              </w:rPr>
            </w:pPr>
            <w:r w:rsidRPr="002E6B7A">
              <w:rPr>
                <w:b/>
              </w:rPr>
              <w:t>RATIONALE</w:t>
            </w:r>
          </w:p>
        </w:tc>
      </w:tr>
      <w:tr w:rsidR="0078631E" w:rsidRPr="00DD40A1" w:rsidTr="00DD40A1">
        <w:tc>
          <w:tcPr>
            <w:tcW w:w="4945" w:type="dxa"/>
          </w:tcPr>
          <w:p w:rsidR="0078631E" w:rsidRPr="00DD40A1" w:rsidRDefault="009E2B3A" w:rsidP="00E81E93">
            <w:pPr>
              <w:pStyle w:val="Body"/>
              <w:spacing w:after="0"/>
              <w:contextualSpacing/>
              <w:rPr>
                <w:rFonts w:asciiTheme="minorHAnsi" w:hAnsiTheme="minorHAnsi"/>
                <w:i/>
                <w:sz w:val="21"/>
                <w:szCs w:val="21"/>
              </w:rPr>
            </w:pPr>
            <w:r>
              <w:rPr>
                <w:rFonts w:asciiTheme="minorHAnsi" w:hAnsiTheme="minorHAnsi"/>
                <w:b/>
                <w:i/>
                <w:sz w:val="21"/>
                <w:szCs w:val="21"/>
              </w:rPr>
              <w:t xml:space="preserve">Amend </w:t>
            </w:r>
            <w:r w:rsidR="000E0AC9">
              <w:rPr>
                <w:rFonts w:asciiTheme="minorHAnsi" w:hAnsiTheme="minorHAnsi"/>
                <w:b/>
                <w:i/>
                <w:sz w:val="21"/>
                <w:szCs w:val="21"/>
              </w:rPr>
              <w:t>Section I (Plots)., Subsection D</w:t>
            </w:r>
            <w:r>
              <w:rPr>
                <w:rFonts w:asciiTheme="minorHAnsi" w:hAnsiTheme="minorHAnsi"/>
                <w:b/>
                <w:i/>
                <w:sz w:val="21"/>
                <w:szCs w:val="21"/>
              </w:rPr>
              <w:t xml:space="preserve">., Subdivision 1 </w:t>
            </w:r>
            <w:r w:rsidR="0078631E" w:rsidRPr="00DD40A1">
              <w:rPr>
                <w:rFonts w:asciiTheme="minorHAnsi" w:hAnsiTheme="minorHAnsi"/>
                <w:b/>
                <w:i/>
                <w:sz w:val="21"/>
                <w:szCs w:val="21"/>
              </w:rPr>
              <w:t>b</w:t>
            </w:r>
            <w:r>
              <w:rPr>
                <w:rFonts w:asciiTheme="minorHAnsi" w:hAnsiTheme="minorHAnsi"/>
                <w:b/>
                <w:i/>
                <w:sz w:val="21"/>
                <w:szCs w:val="21"/>
              </w:rPr>
              <w:t>y adding a new Paragraph e so Subdivision</w:t>
            </w:r>
            <w:r w:rsidR="0078631E" w:rsidRPr="00DD40A1">
              <w:rPr>
                <w:rFonts w:asciiTheme="minorHAnsi" w:hAnsiTheme="minorHAnsi"/>
                <w:b/>
                <w:i/>
                <w:sz w:val="21"/>
                <w:szCs w:val="21"/>
              </w:rPr>
              <w:t xml:space="preserve"> reads</w:t>
            </w:r>
            <w:r w:rsidR="0098369A">
              <w:rPr>
                <w:rFonts w:asciiTheme="minorHAnsi" w:hAnsiTheme="minorHAnsi"/>
                <w:b/>
                <w:i/>
                <w:sz w:val="21"/>
                <w:szCs w:val="21"/>
              </w:rPr>
              <w:t>:</w:t>
            </w:r>
          </w:p>
          <w:p w:rsidR="0078631E" w:rsidRPr="00DD40A1" w:rsidRDefault="0078631E" w:rsidP="00E81E93">
            <w:pPr>
              <w:pStyle w:val="Body"/>
              <w:spacing w:after="0"/>
              <w:contextualSpacing/>
              <w:rPr>
                <w:rFonts w:asciiTheme="minorHAnsi" w:hAnsiTheme="minorHAnsi"/>
                <w:i/>
                <w:sz w:val="21"/>
                <w:szCs w:val="21"/>
              </w:rPr>
            </w:pPr>
            <w:r w:rsidRPr="00DD40A1">
              <w:rPr>
                <w:rFonts w:asciiTheme="minorHAnsi" w:hAnsiTheme="minorHAnsi"/>
                <w:i/>
                <w:sz w:val="21"/>
                <w:szCs w:val="21"/>
              </w:rPr>
              <w:t xml:space="preserve"> </w:t>
            </w:r>
          </w:p>
          <w:p w:rsidR="0078631E" w:rsidRPr="00DD40A1" w:rsidRDefault="0078631E" w:rsidP="00E81E93">
            <w:pPr>
              <w:pStyle w:val="Body"/>
              <w:spacing w:after="0"/>
              <w:contextualSpacing/>
              <w:rPr>
                <w:rFonts w:asciiTheme="minorHAnsi" w:hAnsiTheme="minorHAnsi"/>
                <w:sz w:val="21"/>
                <w:szCs w:val="21"/>
              </w:rPr>
            </w:pPr>
            <w:r w:rsidRPr="00DD40A1">
              <w:rPr>
                <w:rFonts w:asciiTheme="minorHAnsi" w:hAnsiTheme="minorHAnsi"/>
                <w:sz w:val="21"/>
                <w:szCs w:val="21"/>
              </w:rPr>
              <w:t>D. PLOT COMPLIANCE</w:t>
            </w:r>
          </w:p>
          <w:p w:rsidR="0078631E" w:rsidRPr="00DD40A1" w:rsidRDefault="0078631E" w:rsidP="00E81E93">
            <w:pPr>
              <w:pStyle w:val="Body"/>
              <w:spacing w:after="0"/>
              <w:contextualSpacing/>
              <w:rPr>
                <w:rFonts w:asciiTheme="minorHAnsi" w:hAnsiTheme="minorHAnsi"/>
                <w:sz w:val="21"/>
                <w:szCs w:val="21"/>
              </w:rPr>
            </w:pPr>
          </w:p>
          <w:p w:rsidR="0078631E" w:rsidRPr="00DD40A1" w:rsidRDefault="0078631E" w:rsidP="00E81E93">
            <w:pPr>
              <w:pStyle w:val="Body"/>
              <w:spacing w:after="0"/>
              <w:contextualSpacing/>
              <w:rPr>
                <w:rFonts w:asciiTheme="minorHAnsi" w:hAnsiTheme="minorHAnsi"/>
                <w:sz w:val="21"/>
                <w:szCs w:val="21"/>
              </w:rPr>
            </w:pPr>
            <w:r w:rsidRPr="00DD40A1">
              <w:rPr>
                <w:rFonts w:asciiTheme="minorHAnsi" w:hAnsiTheme="minorHAnsi"/>
                <w:sz w:val="21"/>
                <w:szCs w:val="21"/>
              </w:rPr>
              <w:t>1. Plot compliance includes:</w:t>
            </w:r>
          </w:p>
          <w:p w:rsidR="0078631E" w:rsidRPr="00DD40A1" w:rsidRDefault="0078631E" w:rsidP="00E81E93">
            <w:pPr>
              <w:pStyle w:val="Body"/>
              <w:spacing w:after="0"/>
              <w:ind w:left="570" w:hanging="210"/>
              <w:contextualSpacing/>
              <w:rPr>
                <w:rFonts w:asciiTheme="minorHAnsi" w:hAnsiTheme="minorHAnsi"/>
                <w:sz w:val="21"/>
                <w:szCs w:val="21"/>
              </w:rPr>
            </w:pPr>
            <w:r w:rsidRPr="00DD40A1">
              <w:rPr>
                <w:rFonts w:asciiTheme="minorHAnsi" w:hAnsiTheme="minorHAnsi"/>
                <w:sz w:val="21"/>
                <w:szCs w:val="21"/>
              </w:rPr>
              <w:t>a. Vegetables and/or fruits harvested regularly.</w:t>
            </w:r>
          </w:p>
          <w:p w:rsidR="0078631E" w:rsidRPr="00DD40A1" w:rsidRDefault="0078631E" w:rsidP="00E81E93">
            <w:pPr>
              <w:pStyle w:val="Body"/>
              <w:spacing w:after="0"/>
              <w:ind w:left="570" w:hanging="210"/>
              <w:contextualSpacing/>
              <w:rPr>
                <w:rFonts w:asciiTheme="minorHAnsi" w:hAnsiTheme="minorHAnsi"/>
                <w:sz w:val="21"/>
                <w:szCs w:val="21"/>
              </w:rPr>
            </w:pPr>
            <w:r w:rsidRPr="00DD40A1">
              <w:rPr>
                <w:rFonts w:asciiTheme="minorHAnsi" w:hAnsiTheme="minorHAnsi"/>
                <w:sz w:val="21"/>
                <w:szCs w:val="21"/>
              </w:rPr>
              <w:t>b. Plots not overrun with weeds, especially bindweed, Johnson grass, and Bermuda grass.</w:t>
            </w:r>
          </w:p>
          <w:p w:rsidR="0078631E" w:rsidRPr="00DD40A1" w:rsidRDefault="0078631E" w:rsidP="00E81E93">
            <w:pPr>
              <w:pStyle w:val="Body"/>
              <w:spacing w:after="0"/>
              <w:ind w:left="570" w:hanging="210"/>
              <w:contextualSpacing/>
              <w:rPr>
                <w:rFonts w:asciiTheme="minorHAnsi" w:hAnsiTheme="minorHAnsi"/>
                <w:sz w:val="21"/>
                <w:szCs w:val="21"/>
              </w:rPr>
            </w:pPr>
            <w:r w:rsidRPr="00DD40A1">
              <w:rPr>
                <w:rFonts w:asciiTheme="minorHAnsi" w:hAnsiTheme="minorHAnsi"/>
                <w:sz w:val="21"/>
                <w:szCs w:val="21"/>
              </w:rPr>
              <w:t xml:space="preserve">c. Plants at the end of their productive life removed.  </w:t>
            </w:r>
          </w:p>
          <w:p w:rsidR="0078631E" w:rsidRPr="00DD40A1" w:rsidRDefault="0078631E" w:rsidP="00E81E93">
            <w:pPr>
              <w:pStyle w:val="Body"/>
              <w:spacing w:after="0"/>
              <w:ind w:left="570" w:hanging="210"/>
              <w:contextualSpacing/>
              <w:rPr>
                <w:rFonts w:asciiTheme="minorHAnsi" w:hAnsiTheme="minorHAnsi"/>
                <w:i/>
                <w:sz w:val="21"/>
                <w:szCs w:val="21"/>
              </w:rPr>
            </w:pPr>
            <w:r w:rsidRPr="00DD40A1">
              <w:rPr>
                <w:rFonts w:asciiTheme="minorHAnsi" w:hAnsiTheme="minorHAnsi"/>
                <w:sz w:val="21"/>
                <w:szCs w:val="21"/>
              </w:rPr>
              <w:t>d. Two feet beyond the surrounding border of each plot into paths and common area maintained.</w:t>
            </w:r>
          </w:p>
          <w:p w:rsidR="0078631E" w:rsidRDefault="0078631E" w:rsidP="002D2AE4">
            <w:pPr>
              <w:pStyle w:val="Body"/>
              <w:spacing w:after="0"/>
              <w:ind w:left="570" w:hanging="210"/>
              <w:contextualSpacing/>
              <w:rPr>
                <w:rFonts w:asciiTheme="minorHAnsi" w:hAnsiTheme="minorHAnsi"/>
                <w:sz w:val="21"/>
                <w:szCs w:val="21"/>
              </w:rPr>
            </w:pPr>
            <w:r w:rsidRPr="00DD40A1">
              <w:rPr>
                <w:rFonts w:asciiTheme="minorHAnsi" w:hAnsiTheme="minorHAnsi"/>
                <w:sz w:val="21"/>
                <w:szCs w:val="21"/>
                <w:highlight w:val="yellow"/>
              </w:rPr>
              <w:t>e. One-foot strip inside plot along common borders with adjoining plots kept free of weeds (Bermuda grass, bindweed, etc.).</w:t>
            </w:r>
          </w:p>
          <w:p w:rsidR="002D2AE4" w:rsidRPr="002D2AE4" w:rsidRDefault="002D2AE4" w:rsidP="002D2AE4">
            <w:pPr>
              <w:pStyle w:val="Body"/>
              <w:spacing w:after="0"/>
              <w:ind w:left="570" w:hanging="210"/>
              <w:contextualSpacing/>
              <w:rPr>
                <w:rFonts w:asciiTheme="minorHAnsi" w:hAnsiTheme="minorHAnsi"/>
                <w:i/>
                <w:sz w:val="12"/>
                <w:szCs w:val="12"/>
              </w:rPr>
            </w:pPr>
          </w:p>
        </w:tc>
        <w:tc>
          <w:tcPr>
            <w:tcW w:w="4456" w:type="dxa"/>
          </w:tcPr>
          <w:p w:rsidR="0078631E" w:rsidRPr="00DD40A1" w:rsidRDefault="0078631E" w:rsidP="00E81E93">
            <w:pPr>
              <w:pStyle w:val="Body"/>
              <w:spacing w:after="0"/>
              <w:contextualSpacing/>
              <w:rPr>
                <w:rFonts w:asciiTheme="minorHAnsi" w:hAnsiTheme="minorHAnsi"/>
                <w:sz w:val="21"/>
                <w:szCs w:val="21"/>
              </w:rPr>
            </w:pPr>
          </w:p>
          <w:p w:rsidR="0078631E" w:rsidRPr="00DD40A1" w:rsidRDefault="0078631E" w:rsidP="00E81E93">
            <w:pPr>
              <w:pStyle w:val="Body"/>
              <w:spacing w:after="0"/>
              <w:contextualSpacing/>
              <w:rPr>
                <w:rFonts w:asciiTheme="minorHAnsi" w:hAnsiTheme="minorHAnsi"/>
                <w:sz w:val="21"/>
                <w:szCs w:val="21"/>
              </w:rPr>
            </w:pPr>
          </w:p>
          <w:p w:rsidR="0078631E" w:rsidRPr="00DD40A1" w:rsidRDefault="0078631E" w:rsidP="00E81E93">
            <w:pPr>
              <w:pStyle w:val="Body"/>
              <w:spacing w:after="0"/>
              <w:contextualSpacing/>
              <w:rPr>
                <w:rFonts w:asciiTheme="minorHAnsi" w:hAnsiTheme="minorHAnsi"/>
                <w:sz w:val="21"/>
                <w:szCs w:val="21"/>
              </w:rPr>
            </w:pPr>
          </w:p>
          <w:p w:rsidR="0078631E" w:rsidRPr="00DD40A1" w:rsidRDefault="0078631E" w:rsidP="00E81E93">
            <w:pPr>
              <w:pStyle w:val="Body"/>
              <w:spacing w:after="0"/>
              <w:contextualSpacing/>
              <w:rPr>
                <w:rFonts w:asciiTheme="minorHAnsi" w:hAnsiTheme="minorHAnsi"/>
                <w:sz w:val="21"/>
                <w:szCs w:val="21"/>
              </w:rPr>
            </w:pPr>
          </w:p>
          <w:p w:rsidR="0078631E" w:rsidRPr="00DD40A1" w:rsidRDefault="0078631E" w:rsidP="00E81E93">
            <w:pPr>
              <w:pStyle w:val="Body"/>
              <w:spacing w:after="0"/>
              <w:contextualSpacing/>
              <w:rPr>
                <w:rFonts w:asciiTheme="minorHAnsi" w:hAnsiTheme="minorHAnsi"/>
                <w:sz w:val="21"/>
                <w:szCs w:val="21"/>
              </w:rPr>
            </w:pPr>
          </w:p>
          <w:p w:rsidR="0078631E" w:rsidRPr="00DD40A1" w:rsidRDefault="0078631E" w:rsidP="00E81E93">
            <w:pPr>
              <w:pStyle w:val="Body"/>
              <w:spacing w:after="0"/>
              <w:contextualSpacing/>
              <w:rPr>
                <w:rFonts w:asciiTheme="minorHAnsi" w:hAnsiTheme="minorHAnsi"/>
                <w:sz w:val="21"/>
                <w:szCs w:val="21"/>
              </w:rPr>
            </w:pPr>
            <w:r w:rsidRPr="00DD40A1">
              <w:rPr>
                <w:rFonts w:asciiTheme="minorHAnsi" w:hAnsiTheme="minorHAnsi"/>
                <w:sz w:val="21"/>
                <w:szCs w:val="21"/>
              </w:rPr>
              <w:t>1. Plot compliance includes:</w:t>
            </w:r>
          </w:p>
          <w:p w:rsidR="0078631E" w:rsidRPr="00DD40A1" w:rsidRDefault="0078631E" w:rsidP="00E81E93">
            <w:pPr>
              <w:pStyle w:val="Body"/>
              <w:spacing w:after="0"/>
              <w:ind w:left="570" w:hanging="210"/>
              <w:contextualSpacing/>
              <w:rPr>
                <w:rFonts w:asciiTheme="minorHAnsi" w:hAnsiTheme="minorHAnsi"/>
                <w:sz w:val="21"/>
                <w:szCs w:val="21"/>
              </w:rPr>
            </w:pPr>
            <w:r w:rsidRPr="00DD40A1">
              <w:rPr>
                <w:rFonts w:asciiTheme="minorHAnsi" w:hAnsiTheme="minorHAnsi"/>
                <w:sz w:val="21"/>
                <w:szCs w:val="21"/>
              </w:rPr>
              <w:t>a. Vegetables and/or fruits harvested regularly.</w:t>
            </w:r>
          </w:p>
          <w:p w:rsidR="0078631E" w:rsidRPr="00DD40A1" w:rsidRDefault="0078631E" w:rsidP="00E81E93">
            <w:pPr>
              <w:pStyle w:val="Body"/>
              <w:spacing w:after="0"/>
              <w:ind w:left="570" w:hanging="210"/>
              <w:contextualSpacing/>
              <w:rPr>
                <w:rFonts w:asciiTheme="minorHAnsi" w:hAnsiTheme="minorHAnsi"/>
                <w:sz w:val="21"/>
                <w:szCs w:val="21"/>
              </w:rPr>
            </w:pPr>
            <w:r w:rsidRPr="00DD40A1">
              <w:rPr>
                <w:rFonts w:asciiTheme="minorHAnsi" w:hAnsiTheme="minorHAnsi"/>
                <w:sz w:val="21"/>
                <w:szCs w:val="21"/>
              </w:rPr>
              <w:t>b. Plots not overrun with weeds, especially bindweed, Johnson grass, and Bermuda grass.</w:t>
            </w:r>
          </w:p>
          <w:p w:rsidR="0078631E" w:rsidRPr="00DD40A1" w:rsidRDefault="0078631E" w:rsidP="00E81E93">
            <w:pPr>
              <w:pStyle w:val="Body"/>
              <w:spacing w:after="0"/>
              <w:ind w:left="570" w:hanging="210"/>
              <w:contextualSpacing/>
              <w:rPr>
                <w:rFonts w:asciiTheme="minorHAnsi" w:hAnsiTheme="minorHAnsi"/>
                <w:sz w:val="21"/>
                <w:szCs w:val="21"/>
              </w:rPr>
            </w:pPr>
            <w:r w:rsidRPr="00DD40A1">
              <w:rPr>
                <w:rFonts w:asciiTheme="minorHAnsi" w:hAnsiTheme="minorHAnsi"/>
                <w:sz w:val="21"/>
                <w:szCs w:val="21"/>
              </w:rPr>
              <w:t xml:space="preserve">c. Plants at the end of their productive life removed.  </w:t>
            </w:r>
          </w:p>
          <w:p w:rsidR="0078631E" w:rsidRPr="00DD40A1" w:rsidRDefault="0078631E" w:rsidP="00E81E93">
            <w:pPr>
              <w:pStyle w:val="Body"/>
              <w:spacing w:after="0"/>
              <w:ind w:left="570" w:hanging="210"/>
              <w:contextualSpacing/>
              <w:rPr>
                <w:rFonts w:asciiTheme="minorHAnsi" w:hAnsiTheme="minorHAnsi"/>
                <w:i/>
                <w:sz w:val="21"/>
                <w:szCs w:val="21"/>
              </w:rPr>
            </w:pPr>
            <w:r w:rsidRPr="00DD40A1">
              <w:rPr>
                <w:rFonts w:asciiTheme="minorHAnsi" w:hAnsiTheme="minorHAnsi"/>
                <w:sz w:val="21"/>
                <w:szCs w:val="21"/>
              </w:rPr>
              <w:t>d. Two feet beyond the surrounding border of each plot into paths and common area maintained.</w:t>
            </w:r>
          </w:p>
          <w:p w:rsidR="0078631E" w:rsidRPr="00DD40A1" w:rsidRDefault="0078631E" w:rsidP="002D2AE4">
            <w:pPr>
              <w:pStyle w:val="Body"/>
              <w:spacing w:after="0"/>
              <w:ind w:left="360"/>
              <w:contextualSpacing/>
              <w:rPr>
                <w:rFonts w:asciiTheme="minorHAnsi" w:hAnsiTheme="minorHAnsi"/>
                <w:sz w:val="21"/>
                <w:szCs w:val="21"/>
              </w:rPr>
            </w:pPr>
            <w:r w:rsidRPr="00DD40A1">
              <w:rPr>
                <w:rFonts w:asciiTheme="minorHAnsi" w:hAnsiTheme="minorHAnsi"/>
                <w:i/>
                <w:sz w:val="21"/>
                <w:szCs w:val="21"/>
              </w:rPr>
              <w:t>e. [no current language]</w:t>
            </w:r>
          </w:p>
        </w:tc>
        <w:tc>
          <w:tcPr>
            <w:tcW w:w="4701" w:type="dxa"/>
          </w:tcPr>
          <w:p w:rsidR="0078631E" w:rsidRPr="00DD40A1" w:rsidRDefault="0078631E" w:rsidP="00E81E93">
            <w:pPr>
              <w:contextualSpacing/>
              <w:rPr>
                <w:sz w:val="21"/>
                <w:szCs w:val="21"/>
              </w:rPr>
            </w:pPr>
            <w:r w:rsidRPr="00DD40A1">
              <w:rPr>
                <w:sz w:val="21"/>
                <w:szCs w:val="21"/>
              </w:rPr>
              <w:tab/>
              <w:t>When a gardener fails to maintain a plot’s borders shared with adjoining plots weed free, the weeds quickly become a problem for the adjoining gardener.  This amendment would make failure to maintain common borders with adjoining plots weed free constitute non-compliance.</w:t>
            </w:r>
          </w:p>
        </w:tc>
      </w:tr>
      <w:tr w:rsidR="0078631E" w:rsidRPr="002E6B7A" w:rsidTr="00DD40A1">
        <w:tc>
          <w:tcPr>
            <w:tcW w:w="4945" w:type="dxa"/>
          </w:tcPr>
          <w:p w:rsidR="0078631E" w:rsidRPr="002E6B7A" w:rsidRDefault="000757D0" w:rsidP="00E81E93">
            <w:pPr>
              <w:pStyle w:val="Body"/>
              <w:spacing w:after="0"/>
              <w:contextualSpacing/>
              <w:rPr>
                <w:rFonts w:asciiTheme="minorHAnsi" w:hAnsiTheme="minorHAnsi"/>
                <w:b/>
                <w:i/>
              </w:rPr>
            </w:pPr>
            <w:r>
              <w:rPr>
                <w:rFonts w:asciiTheme="minorHAnsi" w:hAnsiTheme="minorHAnsi"/>
                <w:b/>
                <w:i/>
              </w:rPr>
              <w:t xml:space="preserve">Amend </w:t>
            </w:r>
            <w:r w:rsidR="00FD0392">
              <w:rPr>
                <w:rFonts w:asciiTheme="minorHAnsi" w:hAnsiTheme="minorHAnsi"/>
                <w:b/>
                <w:i/>
              </w:rPr>
              <w:t xml:space="preserve">Section I. (Plots), Subsection D, </w:t>
            </w:r>
            <w:r>
              <w:rPr>
                <w:rFonts w:asciiTheme="minorHAnsi" w:hAnsiTheme="minorHAnsi"/>
                <w:b/>
                <w:i/>
              </w:rPr>
              <w:t>Subdivision</w:t>
            </w:r>
            <w:r w:rsidR="0078631E" w:rsidRPr="002E6B7A">
              <w:rPr>
                <w:rFonts w:asciiTheme="minorHAnsi" w:hAnsiTheme="minorHAnsi"/>
                <w:b/>
                <w:i/>
              </w:rPr>
              <w:t xml:space="preserve"> 4 by</w:t>
            </w:r>
            <w:r>
              <w:rPr>
                <w:rFonts w:asciiTheme="minorHAnsi" w:hAnsiTheme="minorHAnsi"/>
                <w:b/>
                <w:i/>
              </w:rPr>
              <w:t xml:space="preserve"> amending Paragrap</w:t>
            </w:r>
            <w:r w:rsidR="00FD0392">
              <w:rPr>
                <w:rFonts w:asciiTheme="minorHAnsi" w:hAnsiTheme="minorHAnsi"/>
                <w:b/>
                <w:i/>
              </w:rPr>
              <w:t>h</w:t>
            </w:r>
            <w:r>
              <w:rPr>
                <w:rFonts w:asciiTheme="minorHAnsi" w:hAnsiTheme="minorHAnsi"/>
                <w:b/>
                <w:i/>
              </w:rPr>
              <w:t>s</w:t>
            </w:r>
            <w:r w:rsidR="0078631E" w:rsidRPr="002E6B7A">
              <w:rPr>
                <w:rFonts w:asciiTheme="minorHAnsi" w:hAnsiTheme="minorHAnsi"/>
                <w:b/>
                <w:i/>
              </w:rPr>
              <w:t xml:space="preserve"> b</w:t>
            </w:r>
            <w:r w:rsidR="002D2AE4">
              <w:rPr>
                <w:rFonts w:asciiTheme="minorHAnsi" w:hAnsiTheme="minorHAnsi"/>
                <w:b/>
                <w:i/>
              </w:rPr>
              <w:t xml:space="preserve">, </w:t>
            </w:r>
            <w:r w:rsidR="0078631E" w:rsidRPr="002E6B7A">
              <w:rPr>
                <w:rFonts w:asciiTheme="minorHAnsi" w:hAnsiTheme="minorHAnsi"/>
                <w:b/>
                <w:i/>
              </w:rPr>
              <w:t>e so Subsection reads:</w:t>
            </w:r>
          </w:p>
          <w:p w:rsidR="0078631E" w:rsidRPr="002E6B7A" w:rsidRDefault="0078631E" w:rsidP="00E81E93">
            <w:pPr>
              <w:pStyle w:val="Body"/>
              <w:spacing w:after="0"/>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rPr>
              <w:t>4. Procedure when a plot is out of compliance</w:t>
            </w:r>
          </w:p>
          <w:p w:rsidR="0078631E" w:rsidRPr="002E6B7A" w:rsidRDefault="0078631E" w:rsidP="00E81E93">
            <w:pPr>
              <w:pStyle w:val="Body"/>
              <w:spacing w:after="0"/>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rPr>
              <w:t>a. Determination</w:t>
            </w:r>
          </w:p>
          <w:p w:rsidR="0078631E" w:rsidRPr="002E6B7A" w:rsidRDefault="0078631E" w:rsidP="00E81E93">
            <w:pPr>
              <w:pStyle w:val="Body"/>
              <w:spacing w:after="0"/>
              <w:ind w:left="288"/>
              <w:contextualSpacing/>
              <w:rPr>
                <w:rFonts w:asciiTheme="minorHAnsi" w:hAnsiTheme="minorHAnsi"/>
              </w:rPr>
            </w:pPr>
            <w:r w:rsidRPr="002E6B7A">
              <w:rPr>
                <w:rFonts w:asciiTheme="minorHAnsi" w:hAnsiTheme="minorHAnsi"/>
              </w:rPr>
              <w:t>Two Zone Coordinators will agree on non-compliance and will notify the Vice-President of the Board.</w:t>
            </w:r>
          </w:p>
          <w:p w:rsidR="0078631E" w:rsidRPr="002E6B7A" w:rsidRDefault="0078631E" w:rsidP="00E81E93">
            <w:pPr>
              <w:pStyle w:val="Body"/>
              <w:spacing w:after="0"/>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rPr>
              <w:t>b. Official Notice</w:t>
            </w:r>
          </w:p>
          <w:p w:rsidR="0078631E" w:rsidRPr="002E6B7A" w:rsidRDefault="0078631E" w:rsidP="00E81E93">
            <w:pPr>
              <w:pStyle w:val="Body"/>
              <w:spacing w:after="0"/>
              <w:ind w:left="241"/>
              <w:contextualSpacing/>
              <w:rPr>
                <w:rFonts w:asciiTheme="minorHAnsi" w:hAnsiTheme="minorHAnsi"/>
              </w:rPr>
            </w:pPr>
            <w:r w:rsidRPr="002E6B7A">
              <w:rPr>
                <w:rFonts w:asciiTheme="minorHAnsi" w:hAnsiTheme="minorHAnsi"/>
              </w:rPr>
              <w:t xml:space="preserve">The Vice-President will notify the Board of Directors.  The President will send official notice of non-compliance </w:t>
            </w:r>
            <w:r w:rsidRPr="002E6B7A">
              <w:rPr>
                <w:rFonts w:asciiTheme="minorHAnsi" w:hAnsiTheme="minorHAnsi"/>
                <w:highlight w:val="yellow"/>
              </w:rPr>
              <w:t xml:space="preserve">in accordance with the </w:t>
            </w:r>
            <w:r w:rsidRPr="002E6B7A">
              <w:rPr>
                <w:rFonts w:asciiTheme="minorHAnsi" w:hAnsiTheme="minorHAnsi"/>
                <w:highlight w:val="yellow"/>
              </w:rPr>
              <w:lastRenderedPageBreak/>
              <w:t>notification requirements of Section I.G. of these rules.  The email sent date or receipt/certificate of mailing will be the conclusive proof of the date of notice/mailing.</w:t>
            </w:r>
            <w:r w:rsidRPr="002E6B7A">
              <w:rPr>
                <w:rFonts w:asciiTheme="minorHAnsi" w:hAnsiTheme="minorHAnsi"/>
              </w:rPr>
              <w:t xml:space="preserve">  </w:t>
            </w:r>
          </w:p>
          <w:p w:rsidR="0078631E" w:rsidRPr="002E6B7A"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2D2AE4" w:rsidRPr="002E6B7A" w:rsidRDefault="002D2AE4" w:rsidP="00E81E93">
            <w:pPr>
              <w:pStyle w:val="Body"/>
              <w:spacing w:after="0"/>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rPr>
              <w:t xml:space="preserve">c. Grace Period </w:t>
            </w:r>
          </w:p>
          <w:p w:rsidR="0078631E" w:rsidRPr="002E6B7A" w:rsidRDefault="0078631E" w:rsidP="00E81E93">
            <w:pPr>
              <w:pStyle w:val="Body"/>
              <w:spacing w:after="0"/>
              <w:ind w:left="288"/>
              <w:contextualSpacing/>
              <w:rPr>
                <w:rFonts w:asciiTheme="minorHAnsi" w:hAnsiTheme="minorHAnsi"/>
              </w:rPr>
            </w:pPr>
            <w:r w:rsidRPr="002E6B7A">
              <w:rPr>
                <w:rFonts w:asciiTheme="minorHAnsi" w:hAnsiTheme="minorHAnsi"/>
              </w:rPr>
              <w:t xml:space="preserve">A member shall have 21 days from the date of mailing of the Official Non-compliance Notice to bring the plot into compliance.  Non-compliance at the end of the 21-day period will result in the termination of membership.  The President and the Zone Coordinator shall determine if the plot has been brought into compliance or the membership is terminated.  </w:t>
            </w: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rPr>
              <w:t>d. Termination of Membership</w:t>
            </w:r>
          </w:p>
          <w:p w:rsidR="0078631E" w:rsidRPr="002E6B7A" w:rsidRDefault="0078631E" w:rsidP="00E81E93">
            <w:pPr>
              <w:pStyle w:val="Body"/>
              <w:spacing w:after="0"/>
              <w:ind w:left="288"/>
              <w:contextualSpacing/>
              <w:rPr>
                <w:rFonts w:asciiTheme="minorHAnsi" w:hAnsiTheme="minorHAnsi"/>
              </w:rPr>
            </w:pPr>
            <w:r w:rsidRPr="002E6B7A">
              <w:rPr>
                <w:rFonts w:asciiTheme="minorHAnsi" w:hAnsiTheme="minorHAnsi"/>
              </w:rPr>
              <w:t>If the plot is not in compliance at the end of the 21-day Grace Period, the plot will be available for reassignment to another member.  Any produce, plants, equipment, tools or other items left on the plot or common area shall be considered abandoned</w:t>
            </w:r>
            <w:r w:rsidR="00DD40A1">
              <w:rPr>
                <w:rFonts w:asciiTheme="minorHAnsi" w:hAnsiTheme="minorHAnsi"/>
              </w:rPr>
              <w:t>.</w:t>
            </w:r>
            <w:r>
              <w:rPr>
                <w:rFonts w:asciiTheme="minorHAnsi" w:hAnsiTheme="minorHAnsi"/>
              </w:rPr>
              <w:t xml:space="preserve"> </w:t>
            </w:r>
            <w:r w:rsidR="00E50A83">
              <w:rPr>
                <w:rFonts w:asciiTheme="minorHAnsi" w:hAnsiTheme="minorHAnsi"/>
              </w:rPr>
              <w:t xml:space="preserve"> </w:t>
            </w:r>
            <w:r w:rsidRPr="002E6B7A">
              <w:rPr>
                <w:rFonts w:asciiTheme="minorHAnsi" w:hAnsiTheme="minorHAnsi"/>
              </w:rPr>
              <w:t>If the plot is subject to renewal during this process, a renewal statement will not be sent to the member until the compliance issue is resolved. If the plot is returned to compliance, the due date for the renewal fee will be adjusted.</w:t>
            </w:r>
          </w:p>
          <w:p w:rsidR="0078631E" w:rsidRPr="002E6B7A" w:rsidRDefault="0078631E" w:rsidP="00E81E93">
            <w:pPr>
              <w:pStyle w:val="Body"/>
              <w:spacing w:after="0"/>
              <w:ind w:left="241"/>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rPr>
              <w:t>e. Repeated Non-compliance</w:t>
            </w:r>
          </w:p>
          <w:p w:rsidR="0078631E" w:rsidRPr="002E6B7A" w:rsidRDefault="0078631E" w:rsidP="00E81E93">
            <w:pPr>
              <w:pStyle w:val="Body"/>
              <w:spacing w:after="0"/>
              <w:ind w:left="241"/>
              <w:contextualSpacing/>
              <w:rPr>
                <w:rFonts w:asciiTheme="minorHAnsi" w:hAnsiTheme="minorHAnsi"/>
              </w:rPr>
            </w:pPr>
            <w:r w:rsidRPr="002E6B7A">
              <w:rPr>
                <w:rFonts w:asciiTheme="minorHAnsi" w:hAnsiTheme="minorHAnsi"/>
              </w:rPr>
              <w:t xml:space="preserve">Repeated documented instances of non-compliance (defined as either two documented instances in one season or </w:t>
            </w:r>
            <w:r w:rsidRPr="002E6B7A">
              <w:rPr>
                <w:rFonts w:asciiTheme="minorHAnsi" w:hAnsiTheme="minorHAnsi"/>
                <w:highlight w:val="yellow"/>
              </w:rPr>
              <w:t>one documented instance in three consecutive seasons</w:t>
            </w:r>
            <w:r w:rsidRPr="002E6B7A">
              <w:rPr>
                <w:rFonts w:asciiTheme="minorHAnsi" w:hAnsiTheme="minorHAnsi"/>
              </w:rPr>
              <w:t>) will be grounds for termination of membership.</w:t>
            </w:r>
          </w:p>
        </w:tc>
        <w:tc>
          <w:tcPr>
            <w:tcW w:w="4456" w:type="dxa"/>
          </w:tcPr>
          <w:p w:rsidR="0078631E" w:rsidRPr="002E6B7A" w:rsidRDefault="0078631E" w:rsidP="00E81E93">
            <w:pPr>
              <w:pStyle w:val="Body"/>
              <w:spacing w:after="0"/>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2D2AE4" w:rsidRPr="002E6B7A" w:rsidRDefault="002D2AE4" w:rsidP="00E81E93">
            <w:pPr>
              <w:pStyle w:val="Body"/>
              <w:spacing w:after="0"/>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rPr>
              <w:t>4. Procedure when a plot is out of compliance</w:t>
            </w:r>
          </w:p>
          <w:p w:rsidR="0078631E" w:rsidRPr="002E6B7A" w:rsidRDefault="0078631E" w:rsidP="00E81E93">
            <w:pPr>
              <w:pStyle w:val="Body"/>
              <w:spacing w:after="0"/>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rPr>
              <w:t>a. Determination</w:t>
            </w:r>
          </w:p>
          <w:p w:rsidR="0078631E" w:rsidRPr="002E6B7A" w:rsidRDefault="0078631E" w:rsidP="00E81E93">
            <w:pPr>
              <w:pStyle w:val="Body"/>
              <w:spacing w:after="0"/>
              <w:ind w:left="288"/>
              <w:contextualSpacing/>
              <w:rPr>
                <w:rFonts w:asciiTheme="minorHAnsi" w:hAnsiTheme="minorHAnsi"/>
                <w:i/>
              </w:rPr>
            </w:pPr>
            <w:r w:rsidRPr="002E6B7A">
              <w:rPr>
                <w:rFonts w:asciiTheme="minorHAnsi" w:hAnsiTheme="minorHAnsi"/>
                <w:i/>
              </w:rPr>
              <w:t xml:space="preserve">[Language of proposed amendment is current rule.] </w:t>
            </w:r>
          </w:p>
          <w:p w:rsidR="0078631E" w:rsidRPr="002E6B7A"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rPr>
              <w:t>b. Official Notice</w:t>
            </w:r>
          </w:p>
          <w:p w:rsidR="0078631E" w:rsidRPr="002E6B7A" w:rsidRDefault="0078631E" w:rsidP="00E81E93">
            <w:pPr>
              <w:pStyle w:val="Body"/>
              <w:spacing w:after="0"/>
              <w:ind w:left="288"/>
              <w:contextualSpacing/>
              <w:rPr>
                <w:rFonts w:asciiTheme="minorHAnsi" w:hAnsiTheme="minorHAnsi"/>
              </w:rPr>
            </w:pPr>
            <w:r w:rsidRPr="002E6B7A">
              <w:rPr>
                <w:rFonts w:asciiTheme="minorHAnsi" w:hAnsiTheme="minorHAnsi"/>
              </w:rPr>
              <w:t xml:space="preserve">The Vice-President will notify the Board of Directors.  The President will send official notice of non-compliance by email and </w:t>
            </w:r>
            <w:r w:rsidRPr="002E6B7A">
              <w:rPr>
                <w:rFonts w:asciiTheme="minorHAnsi" w:hAnsiTheme="minorHAnsi"/>
              </w:rPr>
              <w:lastRenderedPageBreak/>
              <w:t xml:space="preserve">USPS to the member with a copy to the Zone Coordinator at the mailing address on file with Sunshine Community Garden.  A certified letter will also be mailed to the address on file with Sunshine Community Garden.  The receipt of mailing will be the conclusive proof of the date of notice. </w:t>
            </w:r>
          </w:p>
          <w:p w:rsidR="0078631E" w:rsidRPr="002E6B7A" w:rsidRDefault="0078631E" w:rsidP="00E81E93">
            <w:pPr>
              <w:pStyle w:val="Body"/>
              <w:spacing w:after="0"/>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rPr>
              <w:t xml:space="preserve">c. Grace Period </w:t>
            </w:r>
          </w:p>
          <w:p w:rsidR="0078631E" w:rsidRPr="002E6B7A" w:rsidRDefault="0078631E" w:rsidP="00E81E93">
            <w:pPr>
              <w:pStyle w:val="Body"/>
              <w:spacing w:after="0"/>
              <w:ind w:left="288"/>
              <w:contextualSpacing/>
              <w:rPr>
                <w:rFonts w:asciiTheme="minorHAnsi" w:hAnsiTheme="minorHAnsi"/>
                <w:i/>
              </w:rPr>
            </w:pPr>
            <w:r w:rsidRPr="002E6B7A">
              <w:rPr>
                <w:rFonts w:asciiTheme="minorHAnsi" w:hAnsiTheme="minorHAnsi"/>
                <w:i/>
              </w:rPr>
              <w:t xml:space="preserve">[Language of proposed amendment is current rule.] </w:t>
            </w: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rPr>
              <w:t>d. Termination of Membership</w:t>
            </w:r>
          </w:p>
          <w:p w:rsidR="0078631E" w:rsidRPr="002E6B7A" w:rsidRDefault="0078631E" w:rsidP="00E81E93">
            <w:pPr>
              <w:pStyle w:val="Body"/>
              <w:spacing w:after="0"/>
              <w:ind w:left="288"/>
              <w:contextualSpacing/>
              <w:rPr>
                <w:rFonts w:asciiTheme="minorHAnsi" w:hAnsiTheme="minorHAnsi"/>
                <w:i/>
              </w:rPr>
            </w:pPr>
            <w:r w:rsidRPr="002E6B7A">
              <w:rPr>
                <w:rFonts w:asciiTheme="minorHAnsi" w:hAnsiTheme="minorHAnsi"/>
                <w:i/>
              </w:rPr>
              <w:t xml:space="preserve">[Language of proposed amendment is current rule.] </w:t>
            </w: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ind w:left="288"/>
              <w:contextualSpacing/>
              <w:rPr>
                <w:rFonts w:asciiTheme="minorHAnsi" w:hAnsiTheme="minorHAnsi"/>
              </w:rPr>
            </w:pPr>
          </w:p>
          <w:p w:rsidR="0078631E" w:rsidRPr="002E6B7A" w:rsidRDefault="0078631E" w:rsidP="00E81E93">
            <w:pPr>
              <w:pStyle w:val="Body"/>
              <w:spacing w:after="0"/>
              <w:contextualSpacing/>
              <w:rPr>
                <w:rFonts w:asciiTheme="minorHAnsi" w:hAnsiTheme="minorHAnsi"/>
              </w:rPr>
            </w:pPr>
            <w:r w:rsidRPr="002E6B7A">
              <w:rPr>
                <w:rFonts w:asciiTheme="minorHAnsi" w:hAnsiTheme="minorHAnsi"/>
              </w:rPr>
              <w:t>e. Repeated Non-compliance</w:t>
            </w:r>
          </w:p>
          <w:p w:rsidR="0078631E" w:rsidRPr="002E6B7A" w:rsidRDefault="0078631E" w:rsidP="00E81E93">
            <w:pPr>
              <w:pStyle w:val="Body"/>
              <w:spacing w:after="0"/>
              <w:ind w:left="288"/>
              <w:contextualSpacing/>
              <w:rPr>
                <w:rFonts w:asciiTheme="minorHAnsi" w:hAnsiTheme="minorHAnsi"/>
              </w:rPr>
            </w:pPr>
            <w:r w:rsidRPr="002E6B7A">
              <w:rPr>
                <w:rFonts w:asciiTheme="minorHAnsi" w:hAnsiTheme="minorHAnsi"/>
              </w:rPr>
              <w:t>Repeated documented instances of non-compliance as defined by twice in one season or three times in one year will be grounds for termination of membership.</w:t>
            </w:r>
          </w:p>
        </w:tc>
        <w:tc>
          <w:tcPr>
            <w:tcW w:w="4701" w:type="dxa"/>
          </w:tcPr>
          <w:p w:rsidR="0078631E" w:rsidRPr="002E6B7A" w:rsidRDefault="0078631E" w:rsidP="00E81E93">
            <w:pPr>
              <w:contextualSpacing/>
            </w:pPr>
            <w:r w:rsidRPr="002E6B7A">
              <w:lastRenderedPageBreak/>
              <w:tab/>
              <w:t>The site rules were amended in December 2015 to add Rule I.G. addressing how official notice is given including notice of non-compliance.  This amendment is a conforming amendment reflecting that official notice is governed by Rule I.G which reads:</w:t>
            </w:r>
          </w:p>
          <w:p w:rsidR="0078631E" w:rsidRPr="001644C3" w:rsidRDefault="0078631E" w:rsidP="00E81E93">
            <w:pPr>
              <w:pStyle w:val="Body"/>
              <w:spacing w:after="0"/>
              <w:ind w:left="286" w:right="314"/>
              <w:contextualSpacing/>
              <w:rPr>
                <w:rFonts w:asciiTheme="minorHAnsi" w:hAnsiTheme="minorHAnsi"/>
                <w:i/>
                <w:sz w:val="20"/>
                <w:szCs w:val="20"/>
              </w:rPr>
            </w:pPr>
            <w:r w:rsidRPr="001644C3">
              <w:rPr>
                <w:rFonts w:asciiTheme="minorHAnsi" w:hAnsiTheme="minorHAnsi"/>
                <w:i/>
                <w:sz w:val="20"/>
                <w:szCs w:val="20"/>
              </w:rPr>
              <w:t>G. GARDENER NOTIFICATION</w:t>
            </w:r>
          </w:p>
          <w:p w:rsidR="0078631E" w:rsidRPr="001644C3" w:rsidRDefault="0078631E" w:rsidP="00E81E93">
            <w:pPr>
              <w:pStyle w:val="Body"/>
              <w:spacing w:after="0"/>
              <w:ind w:left="286" w:right="314"/>
              <w:contextualSpacing/>
              <w:rPr>
                <w:rFonts w:asciiTheme="minorHAnsi" w:hAnsiTheme="minorHAnsi"/>
                <w:i/>
                <w:sz w:val="20"/>
                <w:szCs w:val="20"/>
              </w:rPr>
            </w:pPr>
            <w:r w:rsidRPr="001644C3">
              <w:rPr>
                <w:rFonts w:asciiTheme="minorHAnsi" w:hAnsiTheme="minorHAnsi"/>
                <w:i/>
                <w:sz w:val="20"/>
                <w:szCs w:val="20"/>
              </w:rPr>
              <w:t xml:space="preserve">Any notice required by these rules may be sent by email to email address on file.  Official notification of nonpayment of dues, plot non-compliance or other item relating to termination of membership may be given by email to address on file with a request that gardener acknowledge receipt within seven calendar days.  If acknowledgement is not received, notice shall be resent by certified mail </w:t>
            </w:r>
            <w:r w:rsidRPr="001644C3">
              <w:rPr>
                <w:rFonts w:asciiTheme="minorHAnsi" w:hAnsiTheme="minorHAnsi"/>
                <w:i/>
                <w:sz w:val="20"/>
                <w:szCs w:val="20"/>
              </w:rPr>
              <w:lastRenderedPageBreak/>
              <w:t xml:space="preserve">or regular mail with certificate of mailing to address on file.  </w:t>
            </w:r>
          </w:p>
          <w:p w:rsidR="0078631E" w:rsidRDefault="0078631E" w:rsidP="002F5E4B">
            <w:pPr>
              <w:pStyle w:val="Body"/>
              <w:spacing w:after="0"/>
              <w:contextualSpacing/>
              <w:rPr>
                <w:rFonts w:asciiTheme="minorHAnsi" w:hAnsiTheme="minorHAnsi"/>
              </w:rPr>
            </w:pPr>
          </w:p>
          <w:p w:rsidR="0078631E" w:rsidRDefault="0078631E" w:rsidP="002F5E4B">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Pr="00115C9D" w:rsidRDefault="0078631E" w:rsidP="00E81E93">
            <w:pPr>
              <w:pStyle w:val="Body"/>
              <w:spacing w:after="0"/>
              <w:contextualSpacing/>
              <w:rPr>
                <w:rFonts w:asciiTheme="minorHAnsi" w:hAnsiTheme="minorHAnsi"/>
                <w:sz w:val="18"/>
                <w:szCs w:val="18"/>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p>
          <w:p w:rsidR="00DD40A1" w:rsidRDefault="00DD40A1" w:rsidP="00E81E93">
            <w:pPr>
              <w:pStyle w:val="Body"/>
              <w:spacing w:after="0"/>
              <w:contextualSpacing/>
              <w:rPr>
                <w:rFonts w:asciiTheme="minorHAnsi" w:hAnsiTheme="minorHAnsi"/>
              </w:rPr>
            </w:pPr>
          </w:p>
          <w:p w:rsidR="00DD40A1" w:rsidRDefault="00DD40A1" w:rsidP="00E81E93">
            <w:pPr>
              <w:pStyle w:val="Body"/>
              <w:spacing w:after="0"/>
              <w:contextualSpacing/>
              <w:rPr>
                <w:rFonts w:asciiTheme="minorHAnsi" w:hAnsiTheme="minorHAnsi"/>
              </w:rPr>
            </w:pPr>
          </w:p>
          <w:p w:rsidR="00DD40A1" w:rsidRDefault="00DD40A1" w:rsidP="00E81E93">
            <w:pPr>
              <w:pStyle w:val="Body"/>
              <w:spacing w:after="0"/>
              <w:contextualSpacing/>
              <w:rPr>
                <w:rFonts w:asciiTheme="minorHAnsi" w:hAnsiTheme="minorHAnsi"/>
              </w:rPr>
            </w:pPr>
          </w:p>
          <w:p w:rsidR="00DD40A1" w:rsidRDefault="00DD40A1" w:rsidP="00E81E93">
            <w:pPr>
              <w:pStyle w:val="Body"/>
              <w:spacing w:after="0"/>
              <w:contextualSpacing/>
              <w:rPr>
                <w:rFonts w:asciiTheme="minorHAnsi" w:hAnsiTheme="minorHAnsi"/>
              </w:rPr>
            </w:pPr>
          </w:p>
          <w:p w:rsidR="00DD40A1" w:rsidRDefault="00DD40A1" w:rsidP="00E81E93">
            <w:pPr>
              <w:pStyle w:val="Body"/>
              <w:spacing w:after="0"/>
              <w:contextualSpacing/>
              <w:rPr>
                <w:rFonts w:asciiTheme="minorHAnsi" w:hAnsiTheme="minorHAnsi"/>
              </w:rPr>
            </w:pPr>
          </w:p>
          <w:p w:rsidR="00DD40A1" w:rsidRDefault="00DD40A1" w:rsidP="00E81E93">
            <w:pPr>
              <w:pStyle w:val="Body"/>
              <w:spacing w:after="0"/>
              <w:contextualSpacing/>
              <w:rPr>
                <w:rFonts w:asciiTheme="minorHAnsi" w:hAnsiTheme="minorHAnsi"/>
              </w:rPr>
            </w:pPr>
          </w:p>
          <w:p w:rsidR="00DD40A1" w:rsidRDefault="00DD40A1" w:rsidP="00E81E93">
            <w:pPr>
              <w:pStyle w:val="Body"/>
              <w:spacing w:after="0"/>
              <w:contextualSpacing/>
              <w:rPr>
                <w:rFonts w:asciiTheme="minorHAnsi" w:hAnsiTheme="minorHAnsi"/>
              </w:rPr>
            </w:pPr>
          </w:p>
          <w:p w:rsidR="00DD40A1" w:rsidRDefault="00DD40A1" w:rsidP="00E81E93">
            <w:pPr>
              <w:pStyle w:val="Body"/>
              <w:spacing w:after="0"/>
              <w:contextualSpacing/>
              <w:rPr>
                <w:rFonts w:asciiTheme="minorHAnsi" w:hAnsiTheme="minorHAnsi"/>
              </w:rPr>
            </w:pPr>
          </w:p>
          <w:p w:rsidR="002D2AE4" w:rsidRDefault="002D2AE4" w:rsidP="00E81E93">
            <w:pPr>
              <w:pStyle w:val="Body"/>
              <w:spacing w:after="0"/>
              <w:contextualSpacing/>
              <w:rPr>
                <w:rFonts w:asciiTheme="minorHAnsi" w:hAnsiTheme="minorHAnsi"/>
              </w:rPr>
            </w:pPr>
          </w:p>
          <w:p w:rsidR="0078631E" w:rsidRDefault="0078631E" w:rsidP="00E81E93">
            <w:pPr>
              <w:pStyle w:val="Body"/>
              <w:spacing w:after="0"/>
              <w:contextualSpacing/>
              <w:rPr>
                <w:rFonts w:asciiTheme="minorHAnsi" w:hAnsiTheme="minorHAnsi"/>
              </w:rPr>
            </w:pPr>
            <w:r>
              <w:rPr>
                <w:rFonts w:asciiTheme="minorHAnsi" w:hAnsiTheme="minorHAnsi"/>
              </w:rPr>
              <w:tab/>
              <w:t>Amendment clarifies situation in which three instances of non-compliance results in reassignment of plot.</w:t>
            </w:r>
          </w:p>
          <w:p w:rsidR="0078631E" w:rsidRPr="0040299F" w:rsidRDefault="0078631E" w:rsidP="00E81E93">
            <w:pPr>
              <w:pStyle w:val="Body"/>
              <w:spacing w:after="0"/>
              <w:contextualSpacing/>
              <w:rPr>
                <w:rFonts w:asciiTheme="minorHAnsi" w:hAnsiTheme="minorHAnsi"/>
              </w:rPr>
            </w:pPr>
          </w:p>
        </w:tc>
      </w:tr>
    </w:tbl>
    <w:p w:rsidR="00DE7EB2" w:rsidRDefault="00DE7EB2">
      <w:r>
        <w:lastRenderedPageBreak/>
        <w:br w:type="page"/>
      </w:r>
    </w:p>
    <w:p w:rsidR="00DE7EB2" w:rsidRDefault="00DE7EB2"/>
    <w:tbl>
      <w:tblPr>
        <w:tblStyle w:val="TableGrid"/>
        <w:tblW w:w="0" w:type="auto"/>
        <w:tblLook w:val="04A0" w:firstRow="1" w:lastRow="0" w:firstColumn="1" w:lastColumn="0" w:noHBand="0" w:noVBand="1"/>
      </w:tblPr>
      <w:tblGrid>
        <w:gridCol w:w="4700"/>
        <w:gridCol w:w="4701"/>
        <w:gridCol w:w="4701"/>
      </w:tblGrid>
      <w:tr w:rsidR="00372CE6" w:rsidRPr="004546A9" w:rsidTr="00D8374B">
        <w:tc>
          <w:tcPr>
            <w:tcW w:w="14102" w:type="dxa"/>
            <w:gridSpan w:val="3"/>
          </w:tcPr>
          <w:p w:rsidR="00372CE6" w:rsidRPr="004546A9" w:rsidRDefault="00372CE6" w:rsidP="00D8374B">
            <w:pPr>
              <w:contextualSpacing/>
              <w:rPr>
                <w:b/>
              </w:rPr>
            </w:pPr>
          </w:p>
          <w:p w:rsidR="00372CE6" w:rsidRPr="004546A9" w:rsidRDefault="00372CE6" w:rsidP="00D8374B">
            <w:pPr>
              <w:contextualSpacing/>
              <w:jc w:val="center"/>
              <w:rPr>
                <w:b/>
              </w:rPr>
            </w:pPr>
            <w:r>
              <w:rPr>
                <w:b/>
              </w:rPr>
              <w:t xml:space="preserve">AMENDMENT </w:t>
            </w:r>
            <w:r w:rsidR="00FC5C28">
              <w:rPr>
                <w:b/>
              </w:rPr>
              <w:t>3</w:t>
            </w:r>
            <w:r>
              <w:rPr>
                <w:b/>
              </w:rPr>
              <w:t>: ACTIVE GARDENING PILOT</w:t>
            </w:r>
          </w:p>
          <w:p w:rsidR="009D7114" w:rsidRPr="009D7114" w:rsidRDefault="009D7114" w:rsidP="009D7114">
            <w:pPr>
              <w:tabs>
                <w:tab w:val="right" w:pos="9900"/>
              </w:tabs>
              <w:rPr>
                <w:i/>
              </w:rPr>
            </w:pPr>
            <w:r w:rsidRPr="009D7114">
              <w:rPr>
                <w:i/>
                <w:highlight w:val="yellow"/>
              </w:rPr>
              <w:t>Highlighting</w:t>
            </w:r>
            <w:r w:rsidRPr="009D7114">
              <w:rPr>
                <w:i/>
              </w:rPr>
              <w:t xml:space="preserve"> denotes new or changed language.</w:t>
            </w:r>
          </w:p>
          <w:p w:rsidR="00372CE6" w:rsidRPr="004546A9" w:rsidRDefault="00372CE6" w:rsidP="009D7114">
            <w:pPr>
              <w:contextualSpacing/>
              <w:rPr>
                <w:b/>
              </w:rPr>
            </w:pPr>
          </w:p>
        </w:tc>
      </w:tr>
      <w:tr w:rsidR="00372CE6" w:rsidRPr="004546A9" w:rsidTr="00D8374B">
        <w:trPr>
          <w:trHeight w:val="332"/>
        </w:trPr>
        <w:tc>
          <w:tcPr>
            <w:tcW w:w="4700" w:type="dxa"/>
          </w:tcPr>
          <w:p w:rsidR="00372CE6" w:rsidRPr="004546A9" w:rsidRDefault="00372CE6" w:rsidP="00D8374B">
            <w:pPr>
              <w:contextualSpacing/>
              <w:jc w:val="center"/>
              <w:rPr>
                <w:b/>
              </w:rPr>
            </w:pPr>
            <w:r w:rsidRPr="004546A9">
              <w:rPr>
                <w:b/>
              </w:rPr>
              <w:t>PROPOSED AMENDMENT</w:t>
            </w:r>
          </w:p>
        </w:tc>
        <w:tc>
          <w:tcPr>
            <w:tcW w:w="4701" w:type="dxa"/>
          </w:tcPr>
          <w:p w:rsidR="00372CE6" w:rsidRPr="004546A9" w:rsidRDefault="00372CE6" w:rsidP="00D8374B">
            <w:pPr>
              <w:contextualSpacing/>
              <w:jc w:val="center"/>
              <w:rPr>
                <w:b/>
              </w:rPr>
            </w:pPr>
            <w:r w:rsidRPr="004546A9">
              <w:rPr>
                <w:b/>
              </w:rPr>
              <w:t>CURRENT RULE LANGUAGE</w:t>
            </w:r>
          </w:p>
        </w:tc>
        <w:tc>
          <w:tcPr>
            <w:tcW w:w="4701" w:type="dxa"/>
          </w:tcPr>
          <w:p w:rsidR="00372CE6" w:rsidRPr="004546A9" w:rsidRDefault="00372CE6" w:rsidP="00D8374B">
            <w:pPr>
              <w:contextualSpacing/>
              <w:jc w:val="center"/>
              <w:rPr>
                <w:b/>
              </w:rPr>
            </w:pPr>
            <w:r w:rsidRPr="004546A9">
              <w:rPr>
                <w:b/>
              </w:rPr>
              <w:t>RATIONALE</w:t>
            </w:r>
          </w:p>
        </w:tc>
      </w:tr>
      <w:tr w:rsidR="00372CE6" w:rsidRPr="004546A9" w:rsidTr="00D8374B">
        <w:tc>
          <w:tcPr>
            <w:tcW w:w="4700" w:type="dxa"/>
          </w:tcPr>
          <w:p w:rsidR="00DD40A1" w:rsidRDefault="009E2B3A" w:rsidP="00DD40A1">
            <w:pPr>
              <w:contextualSpacing/>
              <w:rPr>
                <w:b/>
                <w:bCs/>
              </w:rPr>
            </w:pPr>
            <w:r>
              <w:rPr>
                <w:b/>
                <w:i/>
                <w:sz w:val="21"/>
                <w:szCs w:val="21"/>
              </w:rPr>
              <w:t xml:space="preserve">Add </w:t>
            </w:r>
            <w:r w:rsidR="00FD0392">
              <w:rPr>
                <w:b/>
                <w:i/>
                <w:sz w:val="21"/>
                <w:szCs w:val="21"/>
              </w:rPr>
              <w:t>a</w:t>
            </w:r>
            <w:r>
              <w:rPr>
                <w:b/>
                <w:i/>
                <w:sz w:val="21"/>
                <w:szCs w:val="21"/>
              </w:rPr>
              <w:t xml:space="preserve"> Section VII</w:t>
            </w:r>
            <w:r w:rsidR="0098369A">
              <w:rPr>
                <w:b/>
                <w:i/>
                <w:sz w:val="21"/>
                <w:szCs w:val="21"/>
              </w:rPr>
              <w:t xml:space="preserve"> which reads:</w:t>
            </w:r>
          </w:p>
          <w:p w:rsidR="00DD40A1" w:rsidRDefault="00DD40A1" w:rsidP="00DD40A1">
            <w:pPr>
              <w:contextualSpacing/>
              <w:rPr>
                <w:b/>
                <w:bCs/>
              </w:rPr>
            </w:pPr>
          </w:p>
          <w:p w:rsidR="00DD40A1" w:rsidRPr="003A0E84" w:rsidRDefault="00DD40A1" w:rsidP="00DD40A1">
            <w:pPr>
              <w:contextualSpacing/>
              <w:rPr>
                <w:highlight w:val="yellow"/>
              </w:rPr>
            </w:pPr>
            <w:r w:rsidRPr="003A0E84">
              <w:rPr>
                <w:b/>
                <w:bCs/>
                <w:highlight w:val="yellow"/>
              </w:rPr>
              <w:t>VII. Active Gardening Pilot</w:t>
            </w:r>
          </w:p>
          <w:p w:rsidR="00DD40A1" w:rsidRPr="003A0E84" w:rsidRDefault="00DD40A1" w:rsidP="00DD40A1">
            <w:pPr>
              <w:contextualSpacing/>
              <w:rPr>
                <w:highlight w:val="yellow"/>
              </w:rPr>
            </w:pPr>
            <w:r w:rsidRPr="003A0E84">
              <w:rPr>
                <w:highlight w:val="yellow"/>
              </w:rPr>
              <w:tab/>
              <w:t xml:space="preserve">Sunshine Gardens fulfills its purpose of providing “opportunities for the public to engage in organic gardening” only when its members actively garden their assigned plot(s) to produce vegetable and/or ornamental crops.  Currently, it is possible to maintain a plot in compliance with site rules without actively gardening the plot, but doing so is not consistent with the purpose of Sunshine Gardens.  To evaluate </w:t>
            </w:r>
            <w:r w:rsidRPr="003A0E84">
              <w:rPr>
                <w:bCs/>
                <w:highlight w:val="yellow"/>
              </w:rPr>
              <w:t xml:space="preserve">the </w:t>
            </w:r>
            <w:r w:rsidRPr="003A0E84">
              <w:rPr>
                <w:highlight w:val="yellow"/>
              </w:rPr>
              <w:t>effectiveness of amending</w:t>
            </w:r>
            <w:r w:rsidRPr="003A0E84">
              <w:rPr>
                <w:bCs/>
                <w:highlight w:val="yellow"/>
              </w:rPr>
              <w:t xml:space="preserve"> the</w:t>
            </w:r>
            <w:r w:rsidRPr="003A0E84">
              <w:rPr>
                <w:highlight w:val="yellow"/>
              </w:rPr>
              <w:t xml:space="preserve"> site rules to require active gardening of plots, the board shall pilot test requiring members to actively garden their plot(s) and a process for enforcing requirement, </w:t>
            </w:r>
            <w:r w:rsidRPr="003A0E84">
              <w:rPr>
                <w:bCs/>
                <w:highlight w:val="yellow"/>
              </w:rPr>
              <w:t>up to and</w:t>
            </w:r>
            <w:r w:rsidRPr="003A0E84">
              <w:rPr>
                <w:highlight w:val="yellow"/>
              </w:rPr>
              <w:t xml:space="preserve"> including termination of membership</w:t>
            </w:r>
            <w:r w:rsidRPr="003A0E84">
              <w:rPr>
                <w:bCs/>
                <w:highlight w:val="yellow"/>
              </w:rPr>
              <w:t xml:space="preserve">, </w:t>
            </w:r>
            <w:r w:rsidRPr="003A0E84">
              <w:rPr>
                <w:highlight w:val="yellow"/>
              </w:rPr>
              <w:t xml:space="preserve">for failure to actively garden plot(s).  </w:t>
            </w:r>
            <w:r w:rsidRPr="003A0E84">
              <w:rPr>
                <w:bCs/>
                <w:highlight w:val="yellow"/>
              </w:rPr>
              <w:t>The term of the pilot period is defined as the Fall 2016, Spring 2017 and Fall 2017 seasons.</w:t>
            </w:r>
            <w:r w:rsidRPr="003A0E84">
              <w:rPr>
                <w:highlight w:val="yellow"/>
              </w:rPr>
              <w:t xml:space="preserve"> For purposes of this pilot, active gardening is defined as consistently:  </w:t>
            </w:r>
          </w:p>
          <w:p w:rsidR="00DD40A1" w:rsidRPr="003A0E84" w:rsidRDefault="00DD40A1" w:rsidP="007E26DA">
            <w:pPr>
              <w:pStyle w:val="ListParagraph"/>
              <w:numPr>
                <w:ilvl w:val="0"/>
                <w:numId w:val="6"/>
              </w:numPr>
              <w:ind w:left="600" w:hanging="270"/>
              <w:rPr>
                <w:highlight w:val="yellow"/>
              </w:rPr>
            </w:pPr>
            <w:r w:rsidRPr="003A0E84">
              <w:rPr>
                <w:highlight w:val="yellow"/>
                <w:bdr w:val="none" w:sz="0" w:space="0" w:color="auto" w:frame="1"/>
              </w:rPr>
              <w:t>Planting plot in vegetables and/or ornamentals.</w:t>
            </w:r>
          </w:p>
          <w:p w:rsidR="00DD40A1" w:rsidRPr="003A0E84" w:rsidRDefault="00DD40A1" w:rsidP="000029D7">
            <w:pPr>
              <w:pStyle w:val="ListParagraph"/>
              <w:numPr>
                <w:ilvl w:val="0"/>
                <w:numId w:val="6"/>
              </w:numPr>
              <w:ind w:left="600" w:hanging="270"/>
              <w:rPr>
                <w:highlight w:val="yellow"/>
              </w:rPr>
            </w:pPr>
            <w:r w:rsidRPr="003A0E84">
              <w:rPr>
                <w:highlight w:val="yellow"/>
                <w:bdr w:val="none" w:sz="0" w:space="0" w:color="auto" w:frame="1"/>
              </w:rPr>
              <w:t>Maintaining plants after planting by watering, weeding, etc.</w:t>
            </w:r>
          </w:p>
          <w:p w:rsidR="00DD40A1" w:rsidRPr="003A0E84" w:rsidRDefault="00DD40A1" w:rsidP="007E26DA">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ind w:left="600" w:hanging="270"/>
              <w:contextualSpacing/>
              <w:rPr>
                <w:color w:val="auto"/>
                <w:highlight w:val="yellow"/>
              </w:rPr>
            </w:pPr>
            <w:r w:rsidRPr="003A0E84">
              <w:rPr>
                <w:rFonts w:ascii="Calibri" w:hAnsi="Calibri" w:cs="Calibri"/>
                <w:color w:val="auto"/>
                <w:highlight w:val="yellow"/>
              </w:rPr>
              <w:t>Harvesting in a timely manner by picking vegetables when ripe, removing expired annuals and cutting, pruning, thinning or deadheading ornamentals, such as perennials and natives, as appropriate.</w:t>
            </w:r>
          </w:p>
          <w:p w:rsidR="00DD40A1" w:rsidRPr="003A0E84" w:rsidRDefault="00DD40A1" w:rsidP="007E26DA">
            <w:pPr>
              <w:pStyle w:val="Body"/>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ind w:left="600" w:hanging="270"/>
              <w:contextualSpacing/>
              <w:rPr>
                <w:color w:val="auto"/>
                <w:highlight w:val="yellow"/>
              </w:rPr>
            </w:pPr>
            <w:r w:rsidRPr="003A0E84">
              <w:rPr>
                <w:rFonts w:ascii="Calibri" w:hAnsi="Calibri" w:cs="Calibri"/>
                <w:color w:val="auto"/>
                <w:highlight w:val="yellow"/>
              </w:rPr>
              <w:lastRenderedPageBreak/>
              <w:t>Not leaving plot unplanted in vegetables or ornamentals for extended periods with the exception of letting soil rest; resting soil must be covered with leaves, compost, etc. or planted with a cover crop such as clover, buckwheat, Elbon rye or similar.</w:t>
            </w:r>
          </w:p>
          <w:p w:rsidR="00372CE6" w:rsidRPr="004546A9" w:rsidRDefault="00DD40A1" w:rsidP="00DD40A1">
            <w:pPr>
              <w:contextualSpacing/>
            </w:pPr>
            <w:r w:rsidRPr="003A0E84">
              <w:rPr>
                <w:highlight w:val="yellow"/>
              </w:rPr>
              <w:t>If a gardener has multiple plots, each plot must be actively gardened as defined above.</w:t>
            </w:r>
          </w:p>
        </w:tc>
        <w:tc>
          <w:tcPr>
            <w:tcW w:w="4701" w:type="dxa"/>
          </w:tcPr>
          <w:p w:rsidR="00372CE6" w:rsidRDefault="00372CE6" w:rsidP="00D8374B">
            <w:pPr>
              <w:contextualSpacing/>
              <w:rPr>
                <w:i/>
              </w:rPr>
            </w:pPr>
          </w:p>
          <w:p w:rsidR="003A0E84" w:rsidRDefault="003A0E84" w:rsidP="00D8374B">
            <w:pPr>
              <w:contextualSpacing/>
              <w:rPr>
                <w:i/>
              </w:rPr>
            </w:pPr>
          </w:p>
          <w:p w:rsidR="003A0E84" w:rsidRPr="00923EAE" w:rsidRDefault="003A0E84" w:rsidP="00D8374B">
            <w:pPr>
              <w:contextualSpacing/>
              <w:rPr>
                <w:i/>
              </w:rPr>
            </w:pPr>
            <w:r w:rsidRPr="002E6B7A">
              <w:rPr>
                <w:i/>
              </w:rPr>
              <w:t>[no language in current rule]</w:t>
            </w:r>
          </w:p>
        </w:tc>
        <w:tc>
          <w:tcPr>
            <w:tcW w:w="4701" w:type="dxa"/>
          </w:tcPr>
          <w:p w:rsidR="00372CE6" w:rsidRDefault="00372CE6" w:rsidP="00D8374B">
            <w:pPr>
              <w:contextualSpacing/>
            </w:pPr>
          </w:p>
          <w:p w:rsidR="00064030" w:rsidRDefault="00064030" w:rsidP="00D8374B">
            <w:pPr>
              <w:contextualSpacing/>
            </w:pPr>
          </w:p>
          <w:p w:rsidR="00064030" w:rsidRDefault="00064030" w:rsidP="00064030">
            <w:pPr>
              <w:contextualSpacing/>
            </w:pPr>
            <w:r w:rsidRPr="00D214FB">
              <w:t xml:space="preserve">Sunshine Gardens </w:t>
            </w:r>
            <w:r w:rsidR="007A206D">
              <w:t>does not fulfill</w:t>
            </w:r>
            <w:r w:rsidRPr="00D214FB">
              <w:t xml:space="preserve"> its purpose when its members activel</w:t>
            </w:r>
            <w:r>
              <w:t xml:space="preserve">y garden their plot(s).  Active gardening is a somewhat subjective concept and there is some question as to what is best way to ensure gardeners actively garden their plot.  This amendment directs the board to pilot test </w:t>
            </w:r>
            <w:r w:rsidRPr="00D214FB">
              <w:t>requiring members to actively garden their plot(s) and a pr</w:t>
            </w:r>
            <w:r>
              <w:t xml:space="preserve">ocess for enforcing requirement.  </w:t>
            </w:r>
            <w:r w:rsidR="007A206D">
              <w:t>The goal of pilot would be to provide information needed to address active gardening on a permanent basis.</w:t>
            </w:r>
          </w:p>
          <w:p w:rsidR="00064030" w:rsidRDefault="00064030" w:rsidP="00064030">
            <w:pPr>
              <w:contextualSpacing/>
            </w:pPr>
          </w:p>
          <w:p w:rsidR="00064030" w:rsidRPr="004546A9" w:rsidRDefault="00064030" w:rsidP="00D8374B">
            <w:pPr>
              <w:contextualSpacing/>
            </w:pPr>
          </w:p>
        </w:tc>
      </w:tr>
    </w:tbl>
    <w:p w:rsidR="00DE7EB2" w:rsidRDefault="00DE7EB2"/>
    <w:p w:rsidR="009B5DAC" w:rsidRDefault="009B5DAC">
      <w:r>
        <w:br w:type="page"/>
      </w:r>
    </w:p>
    <w:p w:rsidR="009B5DAC" w:rsidRDefault="009B5DAC"/>
    <w:tbl>
      <w:tblPr>
        <w:tblStyle w:val="TableGrid"/>
        <w:tblW w:w="0" w:type="auto"/>
        <w:tblLook w:val="04A0" w:firstRow="1" w:lastRow="0" w:firstColumn="1" w:lastColumn="0" w:noHBand="0" w:noVBand="1"/>
      </w:tblPr>
      <w:tblGrid>
        <w:gridCol w:w="4945"/>
        <w:gridCol w:w="4456"/>
        <w:gridCol w:w="4701"/>
      </w:tblGrid>
      <w:tr w:rsidR="00DE7EB2" w:rsidRPr="004546A9" w:rsidTr="00D8374B">
        <w:tc>
          <w:tcPr>
            <w:tcW w:w="14102" w:type="dxa"/>
            <w:gridSpan w:val="3"/>
          </w:tcPr>
          <w:p w:rsidR="00DE7EB2" w:rsidRPr="000E1828" w:rsidRDefault="00DE7EB2" w:rsidP="00D8374B">
            <w:pPr>
              <w:contextualSpacing/>
              <w:rPr>
                <w:b/>
                <w:sz w:val="12"/>
                <w:szCs w:val="12"/>
              </w:rPr>
            </w:pPr>
          </w:p>
          <w:p w:rsidR="00DE7EB2" w:rsidRPr="004546A9" w:rsidRDefault="00DE7EB2" w:rsidP="00D8374B">
            <w:pPr>
              <w:contextualSpacing/>
              <w:jc w:val="center"/>
              <w:rPr>
                <w:b/>
              </w:rPr>
            </w:pPr>
            <w:r>
              <w:rPr>
                <w:b/>
              </w:rPr>
              <w:t xml:space="preserve">AMENDMENT </w:t>
            </w:r>
            <w:r w:rsidR="00FC5C28">
              <w:rPr>
                <w:b/>
              </w:rPr>
              <w:t>4</w:t>
            </w:r>
            <w:r w:rsidRPr="004546A9">
              <w:rPr>
                <w:b/>
              </w:rPr>
              <w:t>: SECONDARY GARDENER BECOMING PRIMARY GARDENER</w:t>
            </w:r>
          </w:p>
          <w:p w:rsidR="009D7114" w:rsidRPr="009D7114" w:rsidRDefault="009D7114" w:rsidP="009D7114">
            <w:pPr>
              <w:tabs>
                <w:tab w:val="right" w:pos="9900"/>
              </w:tabs>
              <w:rPr>
                <w:i/>
              </w:rPr>
            </w:pPr>
            <w:r w:rsidRPr="009D7114">
              <w:rPr>
                <w:i/>
                <w:highlight w:val="yellow"/>
              </w:rPr>
              <w:t>Highlighting</w:t>
            </w:r>
            <w:r w:rsidRPr="009D7114">
              <w:rPr>
                <w:i/>
              </w:rPr>
              <w:t xml:space="preserve"> denotes new or changed language.</w:t>
            </w:r>
          </w:p>
          <w:p w:rsidR="00DE7EB2" w:rsidRPr="004546A9" w:rsidRDefault="00DE7EB2" w:rsidP="009D7114">
            <w:pPr>
              <w:contextualSpacing/>
              <w:rPr>
                <w:b/>
              </w:rPr>
            </w:pPr>
          </w:p>
        </w:tc>
      </w:tr>
      <w:tr w:rsidR="00DE7EB2" w:rsidRPr="004546A9" w:rsidTr="0098369A">
        <w:trPr>
          <w:trHeight w:val="332"/>
        </w:trPr>
        <w:tc>
          <w:tcPr>
            <w:tcW w:w="4945" w:type="dxa"/>
          </w:tcPr>
          <w:p w:rsidR="00DE7EB2" w:rsidRPr="004546A9" w:rsidRDefault="00DE7EB2" w:rsidP="00D8374B">
            <w:pPr>
              <w:contextualSpacing/>
              <w:jc w:val="center"/>
              <w:rPr>
                <w:b/>
              </w:rPr>
            </w:pPr>
            <w:r w:rsidRPr="004546A9">
              <w:rPr>
                <w:b/>
              </w:rPr>
              <w:t>PROPOSED AMENDMENT</w:t>
            </w:r>
          </w:p>
        </w:tc>
        <w:tc>
          <w:tcPr>
            <w:tcW w:w="4456" w:type="dxa"/>
          </w:tcPr>
          <w:p w:rsidR="00DE7EB2" w:rsidRPr="004546A9" w:rsidRDefault="00DE7EB2" w:rsidP="00D8374B">
            <w:pPr>
              <w:contextualSpacing/>
              <w:jc w:val="center"/>
              <w:rPr>
                <w:b/>
              </w:rPr>
            </w:pPr>
            <w:r w:rsidRPr="004546A9">
              <w:rPr>
                <w:b/>
              </w:rPr>
              <w:t>CURRENT RULE LANGUAGE</w:t>
            </w:r>
          </w:p>
        </w:tc>
        <w:tc>
          <w:tcPr>
            <w:tcW w:w="4701" w:type="dxa"/>
          </w:tcPr>
          <w:p w:rsidR="00DE7EB2" w:rsidRPr="004546A9" w:rsidRDefault="00DE7EB2" w:rsidP="00D8374B">
            <w:pPr>
              <w:contextualSpacing/>
              <w:jc w:val="center"/>
              <w:rPr>
                <w:b/>
              </w:rPr>
            </w:pPr>
            <w:r w:rsidRPr="004546A9">
              <w:rPr>
                <w:b/>
              </w:rPr>
              <w:t>RATIONALE</w:t>
            </w:r>
          </w:p>
        </w:tc>
      </w:tr>
      <w:tr w:rsidR="00DE7EB2" w:rsidRPr="004546A9" w:rsidTr="0098369A">
        <w:tc>
          <w:tcPr>
            <w:tcW w:w="4945" w:type="dxa"/>
          </w:tcPr>
          <w:p w:rsidR="00DE7EB2" w:rsidRPr="002F1CAA" w:rsidRDefault="00FD0392" w:rsidP="00D8374B">
            <w:pPr>
              <w:contextualSpacing/>
              <w:rPr>
                <w:b/>
                <w:bCs/>
                <w:i/>
              </w:rPr>
            </w:pPr>
            <w:r>
              <w:rPr>
                <w:b/>
                <w:bCs/>
                <w:i/>
              </w:rPr>
              <w:t>Amend Section I. (Plots) by adding</w:t>
            </w:r>
            <w:r w:rsidR="00DE7EB2" w:rsidRPr="002F1CAA">
              <w:rPr>
                <w:b/>
                <w:bCs/>
                <w:i/>
              </w:rPr>
              <w:t xml:space="preserve"> a new Subsection H </w:t>
            </w:r>
            <w:r>
              <w:rPr>
                <w:b/>
                <w:bCs/>
                <w:i/>
              </w:rPr>
              <w:t xml:space="preserve">which </w:t>
            </w:r>
            <w:r w:rsidR="00CA3C3D">
              <w:rPr>
                <w:b/>
                <w:bCs/>
                <w:i/>
              </w:rPr>
              <w:t>reads:</w:t>
            </w:r>
          </w:p>
          <w:p w:rsidR="00DE7EB2" w:rsidRPr="004546A9" w:rsidRDefault="00DE7EB2" w:rsidP="00D8374B">
            <w:pPr>
              <w:contextualSpacing/>
              <w:rPr>
                <w:b/>
                <w:bCs/>
              </w:rPr>
            </w:pPr>
          </w:p>
          <w:p w:rsidR="00DE7EB2" w:rsidRPr="00082278" w:rsidRDefault="00DE7EB2" w:rsidP="00D8374B">
            <w:pPr>
              <w:contextualSpacing/>
              <w:rPr>
                <w:b/>
                <w:bCs/>
                <w:highlight w:val="yellow"/>
              </w:rPr>
            </w:pPr>
            <w:r w:rsidRPr="00082278">
              <w:rPr>
                <w:b/>
                <w:bCs/>
                <w:highlight w:val="yellow"/>
              </w:rPr>
              <w:t>H. Secondary Gardener’s Option To Be Assigned Plot</w:t>
            </w:r>
          </w:p>
          <w:p w:rsidR="00DE7EB2" w:rsidRPr="00082278" w:rsidRDefault="00DE7EB2" w:rsidP="00D8374B">
            <w:pPr>
              <w:contextualSpacing/>
              <w:rPr>
                <w:highlight w:val="yellow"/>
              </w:rPr>
            </w:pPr>
            <w:r w:rsidRPr="00082278">
              <w:rPr>
                <w:highlight w:val="yellow"/>
              </w:rPr>
              <w:tab/>
              <w:t xml:space="preserve">If a primary gardener on a plot </w:t>
            </w:r>
            <w:r w:rsidRPr="00082278">
              <w:rPr>
                <w:sz w:val="24"/>
                <w:szCs w:val="24"/>
                <w:highlight w:val="yellow"/>
              </w:rPr>
              <w:t>voluntarily withdraws, a secondary gardener on the plot shall have a first option to be assigned the plot if</w:t>
            </w:r>
            <w:r w:rsidRPr="00082278">
              <w:rPr>
                <w:highlight w:val="yellow"/>
              </w:rPr>
              <w:t>:</w:t>
            </w:r>
          </w:p>
          <w:p w:rsidR="00DE7EB2" w:rsidRPr="00082278" w:rsidRDefault="00DE7EB2" w:rsidP="00D8374B">
            <w:pPr>
              <w:ind w:left="960" w:hanging="240"/>
              <w:contextualSpacing/>
              <w:rPr>
                <w:highlight w:val="yellow"/>
              </w:rPr>
            </w:pPr>
            <w:r w:rsidRPr="00082278">
              <w:rPr>
                <w:highlight w:val="yellow"/>
              </w:rPr>
              <w:t>1) the secondary gardener signed the membership contract as a secondary gardener at least six months before the withdrawal effective date,</w:t>
            </w:r>
          </w:p>
          <w:p w:rsidR="00DE7EB2" w:rsidRPr="00082278" w:rsidRDefault="00DE7EB2" w:rsidP="00D8374B">
            <w:pPr>
              <w:ind w:left="960" w:hanging="240"/>
              <w:contextualSpacing/>
              <w:rPr>
                <w:highlight w:val="yellow"/>
              </w:rPr>
            </w:pPr>
            <w:r w:rsidRPr="00082278">
              <w:rPr>
                <w:highlight w:val="yellow"/>
              </w:rPr>
              <w:t xml:space="preserve">2) the plot is cleared of weeds and crops past their prime and in good condition for reassignment (i.e., primary gardener is eligible for a clean-up fee refund), and </w:t>
            </w:r>
          </w:p>
          <w:p w:rsidR="00DE7EB2" w:rsidRPr="00082278" w:rsidRDefault="00DE7EB2" w:rsidP="00D8374B">
            <w:pPr>
              <w:ind w:left="960" w:hanging="240"/>
              <w:contextualSpacing/>
              <w:rPr>
                <w:highlight w:val="yellow"/>
              </w:rPr>
            </w:pPr>
            <w:r w:rsidRPr="00082278">
              <w:rPr>
                <w:highlight w:val="yellow"/>
              </w:rPr>
              <w:t>3) the board approves the secondary gardener’s request to be the primary gardener.</w:t>
            </w:r>
          </w:p>
          <w:p w:rsidR="00DE7EB2" w:rsidRPr="004546A9" w:rsidRDefault="00DE7EB2" w:rsidP="00D8374B">
            <w:pPr>
              <w:contextualSpacing/>
            </w:pPr>
            <w:r w:rsidRPr="00082278">
              <w:rPr>
                <w:highlight w:val="yellow"/>
              </w:rPr>
              <w:t>To exercise this option, the secondary gardener must notify the plot</w:t>
            </w:r>
            <w:r w:rsidR="00DB3EDD" w:rsidRPr="00082278">
              <w:rPr>
                <w:highlight w:val="yellow"/>
              </w:rPr>
              <w:t xml:space="preserve"> assignment</w:t>
            </w:r>
            <w:r w:rsidRPr="00082278">
              <w:rPr>
                <w:highlight w:val="yellow"/>
              </w:rPr>
              <w:t xml:space="preserve"> coordinator by the withdrawal effective date, sign a new membership contract as primary gardener, and pay same fees as a new gardener (membership fee, tool co-op fee and plot clean up fee).  The only way for a secondary gardener on a plot to become the primary gardener is through this process.</w:t>
            </w:r>
            <w:r w:rsidRPr="004546A9">
              <w:t xml:space="preserve"> </w:t>
            </w:r>
          </w:p>
        </w:tc>
        <w:tc>
          <w:tcPr>
            <w:tcW w:w="4456" w:type="dxa"/>
          </w:tcPr>
          <w:p w:rsidR="00DE7EB2" w:rsidRDefault="00DE7EB2" w:rsidP="00D8374B">
            <w:pPr>
              <w:contextualSpacing/>
              <w:rPr>
                <w:i/>
              </w:rPr>
            </w:pPr>
          </w:p>
          <w:p w:rsidR="00DE7EB2" w:rsidRDefault="00DE7EB2" w:rsidP="00D8374B">
            <w:pPr>
              <w:contextualSpacing/>
              <w:rPr>
                <w:i/>
              </w:rPr>
            </w:pPr>
          </w:p>
          <w:p w:rsidR="00EA5DFA" w:rsidRDefault="00EA5DFA" w:rsidP="00D8374B">
            <w:pPr>
              <w:contextualSpacing/>
              <w:rPr>
                <w:i/>
              </w:rPr>
            </w:pPr>
          </w:p>
          <w:p w:rsidR="00DE7EB2" w:rsidRPr="00923EAE" w:rsidRDefault="00DE7EB2" w:rsidP="00D8374B">
            <w:pPr>
              <w:contextualSpacing/>
              <w:rPr>
                <w:i/>
              </w:rPr>
            </w:pPr>
            <w:r w:rsidRPr="00923EAE">
              <w:rPr>
                <w:i/>
              </w:rPr>
              <w:t>[No language in current rules]</w:t>
            </w:r>
          </w:p>
        </w:tc>
        <w:tc>
          <w:tcPr>
            <w:tcW w:w="4701" w:type="dxa"/>
          </w:tcPr>
          <w:p w:rsidR="00DE7EB2" w:rsidRPr="004546A9" w:rsidRDefault="00DE7EB2" w:rsidP="00D8374B">
            <w:pPr>
              <w:contextualSpacing/>
            </w:pPr>
            <w:r>
              <w:tab/>
              <w:t xml:space="preserve">This amendment incorporates into site rules the current requirements for a secondary gardener to become the primary gardener on a plot.  Putting in site rules will help ensure gardeners are aware of requirements.  </w:t>
            </w:r>
          </w:p>
        </w:tc>
      </w:tr>
    </w:tbl>
    <w:p w:rsidR="00692570" w:rsidRDefault="00692570">
      <w:r>
        <w:br w:type="page"/>
      </w:r>
    </w:p>
    <w:p w:rsidR="009B7D15" w:rsidRPr="004546A9" w:rsidRDefault="009B7D15" w:rsidP="00720585">
      <w:pPr>
        <w:contextualSpacing/>
      </w:pPr>
    </w:p>
    <w:tbl>
      <w:tblPr>
        <w:tblStyle w:val="TableGrid"/>
        <w:tblW w:w="0" w:type="auto"/>
        <w:tblLook w:val="04A0" w:firstRow="1" w:lastRow="0" w:firstColumn="1" w:lastColumn="0" w:noHBand="0" w:noVBand="1"/>
      </w:tblPr>
      <w:tblGrid>
        <w:gridCol w:w="4700"/>
        <w:gridCol w:w="4701"/>
        <w:gridCol w:w="4701"/>
      </w:tblGrid>
      <w:tr w:rsidR="004425EF" w:rsidRPr="004546A9" w:rsidTr="00B35F6A">
        <w:tc>
          <w:tcPr>
            <w:tcW w:w="14102" w:type="dxa"/>
            <w:gridSpan w:val="3"/>
          </w:tcPr>
          <w:p w:rsidR="004425EF" w:rsidRPr="004546A9" w:rsidRDefault="004425EF" w:rsidP="00720585">
            <w:pPr>
              <w:contextualSpacing/>
              <w:jc w:val="center"/>
              <w:rPr>
                <w:b/>
              </w:rPr>
            </w:pPr>
          </w:p>
          <w:p w:rsidR="004425EF" w:rsidRPr="004546A9" w:rsidRDefault="004425EF" w:rsidP="00720585">
            <w:pPr>
              <w:contextualSpacing/>
              <w:jc w:val="center"/>
              <w:rPr>
                <w:b/>
              </w:rPr>
            </w:pPr>
            <w:r w:rsidRPr="004546A9">
              <w:rPr>
                <w:b/>
              </w:rPr>
              <w:t xml:space="preserve">AMENDMENT </w:t>
            </w:r>
            <w:r w:rsidR="00FC5C28">
              <w:rPr>
                <w:b/>
              </w:rPr>
              <w:t>5</w:t>
            </w:r>
            <w:r w:rsidRPr="004546A9">
              <w:rPr>
                <w:b/>
              </w:rPr>
              <w:t xml:space="preserve">: </w:t>
            </w:r>
            <w:r w:rsidR="00692570">
              <w:rPr>
                <w:b/>
              </w:rPr>
              <w:t>SERVICE HOURS FOR MAINTAINING PATHWAYS</w:t>
            </w:r>
          </w:p>
          <w:p w:rsidR="009D7114" w:rsidRPr="009D7114" w:rsidRDefault="009D7114" w:rsidP="009D7114">
            <w:pPr>
              <w:tabs>
                <w:tab w:val="right" w:pos="9900"/>
              </w:tabs>
              <w:rPr>
                <w:i/>
              </w:rPr>
            </w:pPr>
            <w:r w:rsidRPr="009D7114">
              <w:rPr>
                <w:i/>
                <w:highlight w:val="yellow"/>
              </w:rPr>
              <w:t>Highlighting</w:t>
            </w:r>
            <w:r w:rsidRPr="009D7114">
              <w:rPr>
                <w:i/>
              </w:rPr>
              <w:t xml:space="preserve"> denotes new or changed language.</w:t>
            </w:r>
          </w:p>
          <w:p w:rsidR="004425EF" w:rsidRPr="004546A9" w:rsidRDefault="004425EF" w:rsidP="009D7114">
            <w:pPr>
              <w:contextualSpacing/>
              <w:rPr>
                <w:b/>
              </w:rPr>
            </w:pPr>
          </w:p>
        </w:tc>
      </w:tr>
      <w:tr w:rsidR="009A0DFA" w:rsidRPr="004546A9" w:rsidTr="008A44EA">
        <w:trPr>
          <w:trHeight w:val="332"/>
        </w:trPr>
        <w:tc>
          <w:tcPr>
            <w:tcW w:w="4700" w:type="dxa"/>
          </w:tcPr>
          <w:p w:rsidR="009A0DFA" w:rsidRPr="004546A9" w:rsidRDefault="009A0DFA" w:rsidP="008A44EA">
            <w:pPr>
              <w:contextualSpacing/>
              <w:jc w:val="center"/>
              <w:rPr>
                <w:b/>
              </w:rPr>
            </w:pPr>
            <w:r w:rsidRPr="004546A9">
              <w:rPr>
                <w:b/>
              </w:rPr>
              <w:t>PROPOSED AMENDMENT</w:t>
            </w:r>
          </w:p>
        </w:tc>
        <w:tc>
          <w:tcPr>
            <w:tcW w:w="4701" w:type="dxa"/>
          </w:tcPr>
          <w:p w:rsidR="009A0DFA" w:rsidRPr="004546A9" w:rsidRDefault="009A0DFA" w:rsidP="008A44EA">
            <w:pPr>
              <w:contextualSpacing/>
              <w:jc w:val="center"/>
              <w:rPr>
                <w:b/>
              </w:rPr>
            </w:pPr>
            <w:r w:rsidRPr="004546A9">
              <w:rPr>
                <w:b/>
              </w:rPr>
              <w:t>CURRENT RULE LANGUAGE</w:t>
            </w:r>
          </w:p>
        </w:tc>
        <w:tc>
          <w:tcPr>
            <w:tcW w:w="4701" w:type="dxa"/>
          </w:tcPr>
          <w:p w:rsidR="009A0DFA" w:rsidRPr="004546A9" w:rsidRDefault="009A0DFA" w:rsidP="008A44EA">
            <w:pPr>
              <w:contextualSpacing/>
              <w:jc w:val="center"/>
              <w:rPr>
                <w:b/>
              </w:rPr>
            </w:pPr>
            <w:r w:rsidRPr="004546A9">
              <w:rPr>
                <w:b/>
              </w:rPr>
              <w:t>RATIONALE</w:t>
            </w:r>
          </w:p>
        </w:tc>
      </w:tr>
      <w:tr w:rsidR="004425EF" w:rsidRPr="004546A9" w:rsidTr="00B35F6A">
        <w:tc>
          <w:tcPr>
            <w:tcW w:w="4700" w:type="dxa"/>
          </w:tcPr>
          <w:p w:rsidR="002F1CAA" w:rsidRPr="002F1CAA" w:rsidRDefault="009E2B3A" w:rsidP="00720585">
            <w:pPr>
              <w:pStyle w:val="Body"/>
              <w:spacing w:after="0"/>
              <w:contextualSpacing/>
              <w:rPr>
                <w:rFonts w:asciiTheme="minorHAnsi" w:hAnsiTheme="minorHAnsi"/>
                <w:b/>
                <w:i/>
              </w:rPr>
            </w:pPr>
            <w:r>
              <w:rPr>
                <w:rFonts w:asciiTheme="minorHAnsi" w:hAnsiTheme="minorHAnsi"/>
                <w:b/>
                <w:i/>
              </w:rPr>
              <w:t xml:space="preserve">Amend Subdivision </w:t>
            </w:r>
            <w:r w:rsidR="002F1CAA" w:rsidRPr="002F1CAA">
              <w:rPr>
                <w:rFonts w:asciiTheme="minorHAnsi" w:hAnsiTheme="minorHAnsi"/>
                <w:b/>
                <w:i/>
              </w:rPr>
              <w:t xml:space="preserve">B.7 </w:t>
            </w:r>
            <w:r>
              <w:rPr>
                <w:rFonts w:asciiTheme="minorHAnsi" w:hAnsiTheme="minorHAnsi"/>
                <w:b/>
                <w:i/>
              </w:rPr>
              <w:t xml:space="preserve">of Section I </w:t>
            </w:r>
            <w:r w:rsidR="002F1CAA" w:rsidRPr="002F1CAA">
              <w:rPr>
                <w:rFonts w:asciiTheme="minorHAnsi" w:hAnsiTheme="minorHAnsi"/>
                <w:b/>
                <w:i/>
              </w:rPr>
              <w:t>to read:</w:t>
            </w:r>
          </w:p>
          <w:p w:rsidR="002F1CAA" w:rsidRDefault="002F1CAA" w:rsidP="00720585">
            <w:pPr>
              <w:pStyle w:val="Body"/>
              <w:spacing w:after="0"/>
              <w:contextualSpacing/>
              <w:rPr>
                <w:rFonts w:asciiTheme="minorHAnsi" w:hAnsiTheme="minorHAnsi"/>
              </w:rPr>
            </w:pPr>
          </w:p>
          <w:p w:rsidR="00D64243" w:rsidRPr="004546A9" w:rsidRDefault="00D64243" w:rsidP="00720585">
            <w:pPr>
              <w:pStyle w:val="Body"/>
              <w:spacing w:after="0"/>
              <w:contextualSpacing/>
              <w:rPr>
                <w:rFonts w:asciiTheme="minorHAnsi" w:hAnsiTheme="minorHAnsi"/>
              </w:rPr>
            </w:pPr>
            <w:r w:rsidRPr="004546A9">
              <w:rPr>
                <w:rFonts w:asciiTheme="minorHAnsi" w:hAnsiTheme="minorHAnsi"/>
              </w:rPr>
              <w:t>B. SERVICE HOURS</w:t>
            </w:r>
          </w:p>
          <w:p w:rsidR="00D64243" w:rsidRPr="004546A9" w:rsidRDefault="00D64243" w:rsidP="00720585">
            <w:pPr>
              <w:pStyle w:val="Body"/>
              <w:spacing w:after="0"/>
              <w:contextualSpacing/>
              <w:rPr>
                <w:rFonts w:asciiTheme="minorHAnsi" w:hAnsiTheme="minorHAnsi"/>
              </w:rPr>
            </w:pPr>
          </w:p>
          <w:p w:rsidR="00D64243" w:rsidRPr="004546A9" w:rsidRDefault="00D64243" w:rsidP="00720585">
            <w:pPr>
              <w:pStyle w:val="Body"/>
              <w:spacing w:after="0"/>
              <w:contextualSpacing/>
              <w:rPr>
                <w:rFonts w:asciiTheme="minorHAnsi" w:hAnsiTheme="minorHAnsi"/>
              </w:rPr>
            </w:pPr>
            <w:r w:rsidRPr="004546A9">
              <w:rPr>
                <w:rFonts w:asciiTheme="minorHAnsi" w:hAnsiTheme="minorHAnsi"/>
              </w:rPr>
              <w:t>7. Mainten</w:t>
            </w:r>
            <w:r w:rsidRPr="004546A9">
              <w:rPr>
                <w:rFonts w:asciiTheme="minorHAnsi" w:hAnsiTheme="minorHAnsi"/>
                <w:i/>
              </w:rPr>
              <w:t>anc</w:t>
            </w:r>
            <w:r w:rsidRPr="004546A9">
              <w:rPr>
                <w:rFonts w:asciiTheme="minorHAnsi" w:hAnsiTheme="minorHAnsi"/>
              </w:rPr>
              <w:t xml:space="preserve">e of </w:t>
            </w:r>
            <w:r w:rsidRPr="004546A9">
              <w:rPr>
                <w:rFonts w:asciiTheme="minorHAnsi" w:hAnsiTheme="minorHAnsi"/>
                <w:highlight w:val="yellow"/>
              </w:rPr>
              <w:t>comm</w:t>
            </w:r>
            <w:r w:rsidRPr="00082278">
              <w:rPr>
                <w:rFonts w:asciiTheme="minorHAnsi" w:hAnsiTheme="minorHAnsi"/>
                <w:highlight w:val="yellow"/>
              </w:rPr>
              <w:t>on pathways</w:t>
            </w:r>
            <w:r w:rsidRPr="00082278">
              <w:rPr>
                <w:rFonts w:asciiTheme="minorHAnsi" w:hAnsiTheme="minorHAnsi"/>
                <w:highlight w:val="yellow"/>
                <w:u w:val="single"/>
              </w:rPr>
              <w:t>,</w:t>
            </w:r>
            <w:r w:rsidRPr="00082278">
              <w:rPr>
                <w:rFonts w:asciiTheme="minorHAnsi" w:hAnsiTheme="minorHAnsi"/>
                <w:highlight w:val="yellow"/>
              </w:rPr>
              <w:t xml:space="preserve"> pathways between adjacent plots,</w:t>
            </w:r>
            <w:r w:rsidRPr="004546A9">
              <w:rPr>
                <w:rFonts w:asciiTheme="minorHAnsi" w:hAnsiTheme="minorHAnsi"/>
              </w:rPr>
              <w:t xml:space="preserve"> and common areas constitutes service hours.</w:t>
            </w:r>
          </w:p>
          <w:p w:rsidR="004425EF" w:rsidRPr="004546A9" w:rsidRDefault="004425EF" w:rsidP="00720585">
            <w:pPr>
              <w:contextualSpacing/>
            </w:pPr>
          </w:p>
        </w:tc>
        <w:tc>
          <w:tcPr>
            <w:tcW w:w="4701" w:type="dxa"/>
          </w:tcPr>
          <w:p w:rsidR="002F1CAA" w:rsidRDefault="002F1CAA" w:rsidP="00720585">
            <w:pPr>
              <w:pStyle w:val="Body"/>
              <w:spacing w:after="0"/>
              <w:contextualSpacing/>
              <w:rPr>
                <w:rFonts w:asciiTheme="minorHAnsi" w:hAnsiTheme="minorHAnsi"/>
              </w:rPr>
            </w:pPr>
          </w:p>
          <w:p w:rsidR="002F1CAA" w:rsidRDefault="002F1CAA" w:rsidP="00720585">
            <w:pPr>
              <w:pStyle w:val="Body"/>
              <w:spacing w:after="0"/>
              <w:contextualSpacing/>
              <w:rPr>
                <w:rFonts w:asciiTheme="minorHAnsi" w:hAnsiTheme="minorHAnsi"/>
              </w:rPr>
            </w:pPr>
          </w:p>
          <w:p w:rsidR="00D64243" w:rsidRPr="004546A9" w:rsidRDefault="00D64243" w:rsidP="00720585">
            <w:pPr>
              <w:pStyle w:val="Body"/>
              <w:spacing w:after="0"/>
              <w:contextualSpacing/>
              <w:rPr>
                <w:rFonts w:asciiTheme="minorHAnsi" w:hAnsiTheme="minorHAnsi"/>
              </w:rPr>
            </w:pPr>
            <w:r w:rsidRPr="004546A9">
              <w:rPr>
                <w:rFonts w:asciiTheme="minorHAnsi" w:hAnsiTheme="minorHAnsi"/>
              </w:rPr>
              <w:t>B. SERVICE HOURS</w:t>
            </w:r>
          </w:p>
          <w:p w:rsidR="00D64243" w:rsidRPr="004546A9" w:rsidRDefault="00D64243" w:rsidP="00720585">
            <w:pPr>
              <w:pStyle w:val="Body"/>
              <w:spacing w:after="0"/>
              <w:contextualSpacing/>
              <w:rPr>
                <w:rFonts w:asciiTheme="minorHAnsi" w:hAnsiTheme="minorHAnsi"/>
              </w:rPr>
            </w:pPr>
          </w:p>
          <w:p w:rsidR="00D64243" w:rsidRPr="004546A9" w:rsidRDefault="00D64243" w:rsidP="00720585">
            <w:pPr>
              <w:pStyle w:val="Body"/>
              <w:spacing w:after="0"/>
              <w:contextualSpacing/>
              <w:rPr>
                <w:rFonts w:asciiTheme="minorHAnsi" w:hAnsiTheme="minorHAnsi"/>
              </w:rPr>
            </w:pPr>
            <w:r w:rsidRPr="004546A9">
              <w:rPr>
                <w:rFonts w:asciiTheme="minorHAnsi" w:hAnsiTheme="minorHAnsi"/>
              </w:rPr>
              <w:t>7. Mainten</w:t>
            </w:r>
            <w:r w:rsidRPr="004546A9">
              <w:rPr>
                <w:rFonts w:asciiTheme="minorHAnsi" w:hAnsiTheme="minorHAnsi"/>
                <w:i/>
              </w:rPr>
              <w:t>anc</w:t>
            </w:r>
            <w:r w:rsidRPr="004546A9">
              <w:rPr>
                <w:rFonts w:asciiTheme="minorHAnsi" w:hAnsiTheme="minorHAnsi"/>
              </w:rPr>
              <w:t>e of pathways and common areas constitutes service hours.</w:t>
            </w:r>
          </w:p>
          <w:p w:rsidR="004425EF" w:rsidRPr="004546A9" w:rsidRDefault="004425EF" w:rsidP="00720585">
            <w:pPr>
              <w:contextualSpacing/>
            </w:pPr>
          </w:p>
        </w:tc>
        <w:tc>
          <w:tcPr>
            <w:tcW w:w="4701" w:type="dxa"/>
          </w:tcPr>
          <w:p w:rsidR="004425EF" w:rsidRPr="004546A9" w:rsidRDefault="00CE75A8" w:rsidP="00CE75A8">
            <w:pPr>
              <w:contextualSpacing/>
            </w:pPr>
            <w:r>
              <w:tab/>
              <w:t xml:space="preserve">Amendment is designed </w:t>
            </w:r>
            <w:r w:rsidR="00556191">
              <w:t>to clarify that term “pathways” includes not only common paths but also pathways between adjacent plots.</w:t>
            </w:r>
          </w:p>
        </w:tc>
      </w:tr>
    </w:tbl>
    <w:p w:rsidR="004425EF" w:rsidRDefault="004425EF" w:rsidP="00720585">
      <w:pPr>
        <w:contextualSpacing/>
      </w:pPr>
    </w:p>
    <w:p w:rsidR="00140CEC" w:rsidRDefault="00140CEC" w:rsidP="00720585">
      <w:pPr>
        <w:contextualSpacing/>
      </w:pPr>
    </w:p>
    <w:p w:rsidR="00140CEC" w:rsidRDefault="00140CEC" w:rsidP="00720585">
      <w:pPr>
        <w:contextualSpacing/>
      </w:pPr>
    </w:p>
    <w:p w:rsidR="004425EF" w:rsidRPr="004546A9" w:rsidRDefault="004425EF" w:rsidP="00720585">
      <w:pPr>
        <w:contextualSpacing/>
      </w:pPr>
    </w:p>
    <w:sectPr w:rsidR="004425EF" w:rsidRPr="004546A9" w:rsidSect="00944A92">
      <w:pgSz w:w="15840" w:h="12240" w:orient="landscape"/>
      <w:pgMar w:top="1152" w:right="720"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182" w:rsidRDefault="00283182" w:rsidP="00692570">
      <w:r>
        <w:separator/>
      </w:r>
    </w:p>
  </w:endnote>
  <w:endnote w:type="continuationSeparator" w:id="0">
    <w:p w:rsidR="00283182" w:rsidRDefault="00283182" w:rsidP="00692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7404389"/>
      <w:docPartObj>
        <w:docPartGallery w:val="Page Numbers (Bottom of Page)"/>
        <w:docPartUnique/>
      </w:docPartObj>
    </w:sdtPr>
    <w:sdtEndPr>
      <w:rPr>
        <w:noProof/>
      </w:rPr>
    </w:sdtEndPr>
    <w:sdtContent>
      <w:p w:rsidR="00692570" w:rsidRDefault="00692570">
        <w:pPr>
          <w:pStyle w:val="Footer"/>
          <w:jc w:val="right"/>
        </w:pPr>
        <w:r>
          <w:fldChar w:fldCharType="begin"/>
        </w:r>
        <w:r>
          <w:instrText xml:space="preserve"> PAGE   \* MERGEFORMAT </w:instrText>
        </w:r>
        <w:r>
          <w:fldChar w:fldCharType="separate"/>
        </w:r>
        <w:r w:rsidR="007E70D0">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182" w:rsidRDefault="00283182" w:rsidP="00692570">
      <w:r>
        <w:separator/>
      </w:r>
    </w:p>
  </w:footnote>
  <w:footnote w:type="continuationSeparator" w:id="0">
    <w:p w:rsidR="00283182" w:rsidRDefault="00283182" w:rsidP="00692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986" w:rsidRDefault="001C4EBC" w:rsidP="00550986">
    <w:pPr>
      <w:pStyle w:val="Header"/>
      <w:jc w:val="right"/>
    </w:pPr>
    <w:r>
      <w:t>9/7</w:t>
    </w:r>
    <w:r w:rsidR="00550986">
      <w:t>/2016</w:t>
    </w:r>
  </w:p>
  <w:p w:rsidR="00550986" w:rsidRDefault="005509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51F1"/>
    <w:multiLevelType w:val="hybridMultilevel"/>
    <w:tmpl w:val="B6F08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62396"/>
    <w:multiLevelType w:val="multilevel"/>
    <w:tmpl w:val="F9BE7F8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lowerLetter"/>
      <w:lvlText w:val="%3."/>
      <w:lvlJc w:val="left"/>
      <w:pPr>
        <w:tabs>
          <w:tab w:val="num" w:pos="1047"/>
        </w:tabs>
        <w:ind w:left="1047" w:hanging="327"/>
      </w:pPr>
      <w:rPr>
        <w:position w:val="0"/>
        <w:sz w:val="20"/>
        <w:szCs w:val="20"/>
      </w:rPr>
    </w:lvl>
    <w:lvl w:ilvl="3">
      <w:start w:val="1"/>
      <w:numFmt w:val="low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2" w15:restartNumberingAfterBreak="0">
    <w:nsid w:val="1F995BA1"/>
    <w:multiLevelType w:val="hybridMultilevel"/>
    <w:tmpl w:val="1E6EAF5A"/>
    <w:lvl w:ilvl="0" w:tplc="04090001">
      <w:start w:val="1"/>
      <w:numFmt w:val="bullet"/>
      <w:lvlText w:val=""/>
      <w:lvlJc w:val="left"/>
      <w:pPr>
        <w:ind w:left="2880" w:hanging="360"/>
      </w:pPr>
      <w:rPr>
        <w:rFonts w:ascii="Symbol" w:hAnsi="Symbol" w:hint="default"/>
      </w:rPr>
    </w:lvl>
    <w:lvl w:ilvl="1" w:tplc="04090003">
      <w:start w:val="1"/>
      <w:numFmt w:val="decimal"/>
      <w:lvlText w:val="%2."/>
      <w:lvlJc w:val="left"/>
      <w:pPr>
        <w:tabs>
          <w:tab w:val="num" w:pos="3600"/>
        </w:tabs>
        <w:ind w:left="3600" w:hanging="360"/>
      </w:pPr>
    </w:lvl>
    <w:lvl w:ilvl="2" w:tplc="04090005">
      <w:start w:val="1"/>
      <w:numFmt w:val="decimal"/>
      <w:lvlText w:val="%3."/>
      <w:lvlJc w:val="left"/>
      <w:pPr>
        <w:tabs>
          <w:tab w:val="num" w:pos="4320"/>
        </w:tabs>
        <w:ind w:left="4320" w:hanging="360"/>
      </w:pPr>
    </w:lvl>
    <w:lvl w:ilvl="3" w:tplc="04090001">
      <w:start w:val="1"/>
      <w:numFmt w:val="decimal"/>
      <w:lvlText w:val="%4."/>
      <w:lvlJc w:val="left"/>
      <w:pPr>
        <w:tabs>
          <w:tab w:val="num" w:pos="5040"/>
        </w:tabs>
        <w:ind w:left="5040" w:hanging="360"/>
      </w:pPr>
    </w:lvl>
    <w:lvl w:ilvl="4" w:tplc="04090003">
      <w:start w:val="1"/>
      <w:numFmt w:val="decimal"/>
      <w:lvlText w:val="%5."/>
      <w:lvlJc w:val="left"/>
      <w:pPr>
        <w:tabs>
          <w:tab w:val="num" w:pos="5760"/>
        </w:tabs>
        <w:ind w:left="5760" w:hanging="360"/>
      </w:pPr>
    </w:lvl>
    <w:lvl w:ilvl="5" w:tplc="04090005">
      <w:start w:val="1"/>
      <w:numFmt w:val="decimal"/>
      <w:lvlText w:val="%6."/>
      <w:lvlJc w:val="left"/>
      <w:pPr>
        <w:tabs>
          <w:tab w:val="num" w:pos="6480"/>
        </w:tabs>
        <w:ind w:left="6480" w:hanging="360"/>
      </w:pPr>
    </w:lvl>
    <w:lvl w:ilvl="6" w:tplc="04090001">
      <w:start w:val="1"/>
      <w:numFmt w:val="decimal"/>
      <w:lvlText w:val="%7."/>
      <w:lvlJc w:val="left"/>
      <w:pPr>
        <w:tabs>
          <w:tab w:val="num" w:pos="7200"/>
        </w:tabs>
        <w:ind w:left="7200" w:hanging="360"/>
      </w:pPr>
    </w:lvl>
    <w:lvl w:ilvl="7" w:tplc="04090003">
      <w:start w:val="1"/>
      <w:numFmt w:val="decimal"/>
      <w:lvlText w:val="%8."/>
      <w:lvlJc w:val="left"/>
      <w:pPr>
        <w:tabs>
          <w:tab w:val="num" w:pos="7920"/>
        </w:tabs>
        <w:ind w:left="7920" w:hanging="360"/>
      </w:pPr>
    </w:lvl>
    <w:lvl w:ilvl="8" w:tplc="04090005">
      <w:start w:val="1"/>
      <w:numFmt w:val="decimal"/>
      <w:lvlText w:val="%9."/>
      <w:lvlJc w:val="left"/>
      <w:pPr>
        <w:tabs>
          <w:tab w:val="num" w:pos="8640"/>
        </w:tabs>
        <w:ind w:left="8640" w:hanging="360"/>
      </w:pPr>
    </w:lvl>
  </w:abstractNum>
  <w:abstractNum w:abstractNumId="3" w15:restartNumberingAfterBreak="0">
    <w:nsid w:val="23385566"/>
    <w:multiLevelType w:val="hybridMultilevel"/>
    <w:tmpl w:val="E126FF9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 w15:restartNumberingAfterBreak="0">
    <w:nsid w:val="293D30E3"/>
    <w:multiLevelType w:val="multilevel"/>
    <w:tmpl w:val="2068953C"/>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5" w15:restartNumberingAfterBreak="0">
    <w:nsid w:val="2B662D32"/>
    <w:multiLevelType w:val="multilevel"/>
    <w:tmpl w:val="2068953C"/>
    <w:styleLink w:val="List0"/>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decimal"/>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abstractNum w:abstractNumId="6" w15:restartNumberingAfterBreak="0">
    <w:nsid w:val="3B3056B4"/>
    <w:multiLevelType w:val="hybridMultilevel"/>
    <w:tmpl w:val="FA02B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0A82AC4"/>
    <w:multiLevelType w:val="multilevel"/>
    <w:tmpl w:val="AA003C5A"/>
    <w:styleLink w:val="Lettered"/>
    <w:lvl w:ilvl="0">
      <w:start w:val="1"/>
      <w:numFmt w:val="upperLetter"/>
      <w:lvlText w:val="%1."/>
      <w:lvlJc w:val="left"/>
      <w:pPr>
        <w:tabs>
          <w:tab w:val="num" w:pos="327"/>
        </w:tabs>
        <w:ind w:left="327" w:hanging="327"/>
      </w:pPr>
      <w:rPr>
        <w:position w:val="0"/>
        <w:sz w:val="20"/>
        <w:szCs w:val="20"/>
      </w:rPr>
    </w:lvl>
    <w:lvl w:ilvl="1">
      <w:start w:val="1"/>
      <w:numFmt w:val="upperLetter"/>
      <w:lvlText w:val="%2."/>
      <w:lvlJc w:val="left"/>
      <w:pPr>
        <w:tabs>
          <w:tab w:val="num" w:pos="687"/>
        </w:tabs>
        <w:ind w:left="687" w:hanging="327"/>
      </w:pPr>
      <w:rPr>
        <w:position w:val="0"/>
        <w:sz w:val="20"/>
        <w:szCs w:val="20"/>
      </w:rPr>
    </w:lvl>
    <w:lvl w:ilvl="2">
      <w:start w:val="1"/>
      <w:numFmt w:val="upperLetter"/>
      <w:lvlText w:val="%3."/>
      <w:lvlJc w:val="left"/>
      <w:pPr>
        <w:tabs>
          <w:tab w:val="num" w:pos="1047"/>
        </w:tabs>
        <w:ind w:left="1047" w:hanging="327"/>
      </w:pPr>
      <w:rPr>
        <w:position w:val="0"/>
        <w:sz w:val="20"/>
        <w:szCs w:val="20"/>
      </w:rPr>
    </w:lvl>
    <w:lvl w:ilvl="3">
      <w:start w:val="1"/>
      <w:numFmt w:val="upperLetter"/>
      <w:lvlText w:val="%4."/>
      <w:lvlJc w:val="left"/>
      <w:pPr>
        <w:tabs>
          <w:tab w:val="num" w:pos="1407"/>
        </w:tabs>
        <w:ind w:left="1407" w:hanging="327"/>
      </w:pPr>
      <w:rPr>
        <w:position w:val="0"/>
        <w:sz w:val="20"/>
        <w:szCs w:val="20"/>
      </w:rPr>
    </w:lvl>
    <w:lvl w:ilvl="4">
      <w:start w:val="1"/>
      <w:numFmt w:val="upperLetter"/>
      <w:lvlText w:val="%5."/>
      <w:lvlJc w:val="left"/>
      <w:pPr>
        <w:tabs>
          <w:tab w:val="num" w:pos="1767"/>
        </w:tabs>
        <w:ind w:left="1767" w:hanging="327"/>
      </w:pPr>
      <w:rPr>
        <w:position w:val="0"/>
        <w:sz w:val="20"/>
        <w:szCs w:val="20"/>
      </w:rPr>
    </w:lvl>
    <w:lvl w:ilvl="5">
      <w:start w:val="1"/>
      <w:numFmt w:val="upperLetter"/>
      <w:lvlText w:val="%6."/>
      <w:lvlJc w:val="left"/>
      <w:pPr>
        <w:tabs>
          <w:tab w:val="num" w:pos="2127"/>
        </w:tabs>
        <w:ind w:left="2127" w:hanging="327"/>
      </w:pPr>
      <w:rPr>
        <w:position w:val="0"/>
        <w:sz w:val="20"/>
        <w:szCs w:val="20"/>
      </w:rPr>
    </w:lvl>
    <w:lvl w:ilvl="6">
      <w:start w:val="1"/>
      <w:numFmt w:val="upperLetter"/>
      <w:lvlText w:val="%7."/>
      <w:lvlJc w:val="left"/>
      <w:pPr>
        <w:tabs>
          <w:tab w:val="num" w:pos="2487"/>
        </w:tabs>
        <w:ind w:left="2487" w:hanging="327"/>
      </w:pPr>
      <w:rPr>
        <w:position w:val="0"/>
        <w:sz w:val="20"/>
        <w:szCs w:val="20"/>
      </w:rPr>
    </w:lvl>
    <w:lvl w:ilvl="7">
      <w:start w:val="1"/>
      <w:numFmt w:val="upperLetter"/>
      <w:lvlText w:val="%8."/>
      <w:lvlJc w:val="left"/>
      <w:pPr>
        <w:tabs>
          <w:tab w:val="num" w:pos="2847"/>
        </w:tabs>
        <w:ind w:left="2847" w:hanging="327"/>
      </w:pPr>
      <w:rPr>
        <w:position w:val="0"/>
        <w:sz w:val="20"/>
        <w:szCs w:val="20"/>
      </w:rPr>
    </w:lvl>
    <w:lvl w:ilvl="8">
      <w:start w:val="1"/>
      <w:numFmt w:val="upperLetter"/>
      <w:lvlText w:val="%9."/>
      <w:lvlJc w:val="left"/>
      <w:pPr>
        <w:tabs>
          <w:tab w:val="num" w:pos="3207"/>
        </w:tabs>
        <w:ind w:left="3207" w:hanging="327"/>
      </w:pPr>
      <w:rPr>
        <w:position w:val="0"/>
        <w:sz w:val="20"/>
        <w:szCs w:val="20"/>
      </w:rPr>
    </w:lvl>
  </w:abstractNum>
  <w:num w:numId="1">
    <w:abstractNumId w:val="0"/>
  </w:num>
  <w:num w:numId="2">
    <w:abstractNumId w:val="7"/>
  </w:num>
  <w:num w:numId="3">
    <w:abstractNumId w:val="4"/>
  </w:num>
  <w:num w:numId="4">
    <w:abstractNumId w:val="5"/>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attachedTemplate r:id="rId1"/>
  <w:defaultTabStop w:val="36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176"/>
    <w:rsid w:val="000029D7"/>
    <w:rsid w:val="000077EF"/>
    <w:rsid w:val="00014266"/>
    <w:rsid w:val="00052652"/>
    <w:rsid w:val="00064030"/>
    <w:rsid w:val="000757D0"/>
    <w:rsid w:val="00082278"/>
    <w:rsid w:val="00097C61"/>
    <w:rsid w:val="000E0AC9"/>
    <w:rsid w:val="000E1828"/>
    <w:rsid w:val="001079E8"/>
    <w:rsid w:val="00115C9D"/>
    <w:rsid w:val="001178C4"/>
    <w:rsid w:val="00140CEC"/>
    <w:rsid w:val="0015290F"/>
    <w:rsid w:val="001644C3"/>
    <w:rsid w:val="0017153D"/>
    <w:rsid w:val="001C4EBC"/>
    <w:rsid w:val="001D7B16"/>
    <w:rsid w:val="00265910"/>
    <w:rsid w:val="00283182"/>
    <w:rsid w:val="002B61C0"/>
    <w:rsid w:val="002D2AE4"/>
    <w:rsid w:val="002E6B7A"/>
    <w:rsid w:val="002F1CAA"/>
    <w:rsid w:val="002F5E4B"/>
    <w:rsid w:val="00335E0D"/>
    <w:rsid w:val="003560A1"/>
    <w:rsid w:val="00372CE6"/>
    <w:rsid w:val="00381B97"/>
    <w:rsid w:val="0039485A"/>
    <w:rsid w:val="003A0E84"/>
    <w:rsid w:val="003A605E"/>
    <w:rsid w:val="003C08E6"/>
    <w:rsid w:val="003F46D9"/>
    <w:rsid w:val="0040299F"/>
    <w:rsid w:val="004215AC"/>
    <w:rsid w:val="004425EF"/>
    <w:rsid w:val="004434F7"/>
    <w:rsid w:val="004546A9"/>
    <w:rsid w:val="00496EE2"/>
    <w:rsid w:val="004A5BE2"/>
    <w:rsid w:val="004B25CF"/>
    <w:rsid w:val="004B6885"/>
    <w:rsid w:val="004C779B"/>
    <w:rsid w:val="005116D8"/>
    <w:rsid w:val="00523F78"/>
    <w:rsid w:val="00532A76"/>
    <w:rsid w:val="00550986"/>
    <w:rsid w:val="00550EE9"/>
    <w:rsid w:val="00556191"/>
    <w:rsid w:val="005C4F73"/>
    <w:rsid w:val="005D1525"/>
    <w:rsid w:val="005F64F6"/>
    <w:rsid w:val="00601070"/>
    <w:rsid w:val="00667BAF"/>
    <w:rsid w:val="00691B0F"/>
    <w:rsid w:val="00692570"/>
    <w:rsid w:val="006B060D"/>
    <w:rsid w:val="00707E62"/>
    <w:rsid w:val="00720585"/>
    <w:rsid w:val="0072360B"/>
    <w:rsid w:val="00724622"/>
    <w:rsid w:val="00742DB3"/>
    <w:rsid w:val="00752119"/>
    <w:rsid w:val="00761C31"/>
    <w:rsid w:val="0078631E"/>
    <w:rsid w:val="007A206D"/>
    <w:rsid w:val="007E26DA"/>
    <w:rsid w:val="007E2B0F"/>
    <w:rsid w:val="007E70D0"/>
    <w:rsid w:val="0082524F"/>
    <w:rsid w:val="008D3A8E"/>
    <w:rsid w:val="0090315B"/>
    <w:rsid w:val="00923EAE"/>
    <w:rsid w:val="00936467"/>
    <w:rsid w:val="00944A92"/>
    <w:rsid w:val="00953F3F"/>
    <w:rsid w:val="0098369A"/>
    <w:rsid w:val="00987859"/>
    <w:rsid w:val="00991B42"/>
    <w:rsid w:val="00991DD8"/>
    <w:rsid w:val="009A0DFA"/>
    <w:rsid w:val="009B5DAC"/>
    <w:rsid w:val="009B7D15"/>
    <w:rsid w:val="009D7114"/>
    <w:rsid w:val="009E13A1"/>
    <w:rsid w:val="009E2B3A"/>
    <w:rsid w:val="00A36260"/>
    <w:rsid w:val="00A673CA"/>
    <w:rsid w:val="00A75B71"/>
    <w:rsid w:val="00AA4838"/>
    <w:rsid w:val="00AD39B2"/>
    <w:rsid w:val="00B0562A"/>
    <w:rsid w:val="00B17E9A"/>
    <w:rsid w:val="00BB67BB"/>
    <w:rsid w:val="00BE2E44"/>
    <w:rsid w:val="00BE5D6A"/>
    <w:rsid w:val="00C36D90"/>
    <w:rsid w:val="00C463F1"/>
    <w:rsid w:val="00C54FDE"/>
    <w:rsid w:val="00CA3C3D"/>
    <w:rsid w:val="00CC7A58"/>
    <w:rsid w:val="00CD0ECE"/>
    <w:rsid w:val="00CE75A8"/>
    <w:rsid w:val="00CF1561"/>
    <w:rsid w:val="00CF1660"/>
    <w:rsid w:val="00CF61E3"/>
    <w:rsid w:val="00D64243"/>
    <w:rsid w:val="00D96360"/>
    <w:rsid w:val="00DB3274"/>
    <w:rsid w:val="00DB3EDD"/>
    <w:rsid w:val="00DD40A1"/>
    <w:rsid w:val="00DE5D12"/>
    <w:rsid w:val="00DE7EB2"/>
    <w:rsid w:val="00DF5A89"/>
    <w:rsid w:val="00E26174"/>
    <w:rsid w:val="00E50A83"/>
    <w:rsid w:val="00E66588"/>
    <w:rsid w:val="00EA2210"/>
    <w:rsid w:val="00EA5DFA"/>
    <w:rsid w:val="00EC4176"/>
    <w:rsid w:val="00ED6C5B"/>
    <w:rsid w:val="00EE4E2E"/>
    <w:rsid w:val="00F1676F"/>
    <w:rsid w:val="00F279B1"/>
    <w:rsid w:val="00F55C4B"/>
    <w:rsid w:val="00F72B85"/>
    <w:rsid w:val="00F96964"/>
    <w:rsid w:val="00FC5C28"/>
    <w:rsid w:val="00FD0392"/>
    <w:rsid w:val="00FD5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608B6"/>
  <w15:chartTrackingRefBased/>
  <w15:docId w15:val="{D7127572-CEF6-4FB2-B1E2-F7FAE2C4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Body">
    <w:name w:val="Body"/>
    <w:rsid w:val="003F46D9"/>
    <w:pPr>
      <w:pBdr>
        <w:top w:val="nil"/>
        <w:left w:val="nil"/>
        <w:bottom w:val="nil"/>
        <w:right w:val="nil"/>
        <w:between w:val="nil"/>
        <w:bar w:val="nil"/>
      </w:pBdr>
      <w:spacing w:after="120"/>
    </w:pPr>
    <w:rPr>
      <w:rFonts w:ascii="Helvetica" w:eastAsia="Arial Unicode MS" w:hAnsi="Arial Unicode MS" w:cs="Arial Unicode MS"/>
      <w:color w:val="000000"/>
      <w:bdr w:val="nil"/>
    </w:rPr>
  </w:style>
  <w:style w:type="numbering" w:customStyle="1" w:styleId="Lettered">
    <w:name w:val="Lettered"/>
    <w:rsid w:val="003F46D9"/>
    <w:pPr>
      <w:numPr>
        <w:numId w:val="2"/>
      </w:numPr>
    </w:pPr>
  </w:style>
  <w:style w:type="numbering" w:customStyle="1" w:styleId="List0">
    <w:name w:val="List 0"/>
    <w:basedOn w:val="Lettered"/>
    <w:rsid w:val="0015290F"/>
    <w:pPr>
      <w:numPr>
        <w:numId w:val="4"/>
      </w:numPr>
    </w:pPr>
  </w:style>
  <w:style w:type="table" w:styleId="TableGrid">
    <w:name w:val="Table Grid"/>
    <w:basedOn w:val="TableNormal"/>
    <w:uiPriority w:val="39"/>
    <w:rsid w:val="000077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2570"/>
    <w:pPr>
      <w:tabs>
        <w:tab w:val="center" w:pos="4680"/>
        <w:tab w:val="right" w:pos="9360"/>
      </w:tabs>
    </w:pPr>
  </w:style>
  <w:style w:type="character" w:customStyle="1" w:styleId="HeaderChar">
    <w:name w:val="Header Char"/>
    <w:basedOn w:val="DefaultParagraphFont"/>
    <w:link w:val="Header"/>
    <w:uiPriority w:val="99"/>
    <w:rsid w:val="00692570"/>
  </w:style>
  <w:style w:type="paragraph" w:styleId="Footer">
    <w:name w:val="footer"/>
    <w:basedOn w:val="Normal"/>
    <w:link w:val="FooterChar"/>
    <w:uiPriority w:val="99"/>
    <w:unhideWhenUsed/>
    <w:rsid w:val="00692570"/>
    <w:pPr>
      <w:tabs>
        <w:tab w:val="center" w:pos="4680"/>
        <w:tab w:val="right" w:pos="9360"/>
      </w:tabs>
    </w:pPr>
  </w:style>
  <w:style w:type="character" w:customStyle="1" w:styleId="FooterChar">
    <w:name w:val="Footer Char"/>
    <w:basedOn w:val="DefaultParagraphFont"/>
    <w:link w:val="Footer"/>
    <w:uiPriority w:val="99"/>
    <w:rsid w:val="00692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124</TotalTime>
  <Pages>8</Pages>
  <Words>2001</Words>
  <Characters>11411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44</cp:revision>
  <dcterms:created xsi:type="dcterms:W3CDTF">2016-09-07T16:28:00Z</dcterms:created>
  <dcterms:modified xsi:type="dcterms:W3CDTF">2016-09-08T16:09:00Z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